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DE8F48" w14:textId="012BC66E" w:rsidR="009C3B5C" w:rsidRDefault="009C3B5C" w:rsidP="009C3B5C"/>
    <w:p w14:paraId="4482DDBA" w14:textId="77777777" w:rsidR="000C7A20" w:rsidRDefault="000C7A20" w:rsidP="009C3B5C">
      <w:pPr>
        <w:jc w:val="center"/>
        <w:rPr>
          <w:rFonts w:eastAsiaTheme="minorHAnsi"/>
          <w:b/>
          <w:bCs/>
          <w:sz w:val="26"/>
          <w:szCs w:val="26"/>
        </w:rPr>
      </w:pPr>
    </w:p>
    <w:p w14:paraId="4E7A30FF" w14:textId="77777777" w:rsidR="000C7A20" w:rsidRDefault="000C7A20" w:rsidP="009C3B5C">
      <w:pPr>
        <w:jc w:val="center"/>
        <w:rPr>
          <w:rFonts w:eastAsiaTheme="minorHAnsi"/>
          <w:b/>
          <w:bCs/>
          <w:sz w:val="26"/>
          <w:szCs w:val="26"/>
        </w:rPr>
      </w:pPr>
    </w:p>
    <w:p w14:paraId="37F7F120" w14:textId="77777777" w:rsidR="000C7A20" w:rsidRDefault="000C7A20" w:rsidP="009C3B5C">
      <w:pPr>
        <w:jc w:val="center"/>
        <w:rPr>
          <w:rFonts w:eastAsiaTheme="minorHAnsi"/>
          <w:b/>
          <w:bCs/>
          <w:sz w:val="26"/>
          <w:szCs w:val="26"/>
        </w:rPr>
      </w:pPr>
    </w:p>
    <w:p w14:paraId="5CDE0E0E" w14:textId="77777777" w:rsidR="000C7A20" w:rsidRDefault="000C7A20" w:rsidP="009C3B5C">
      <w:pPr>
        <w:jc w:val="center"/>
        <w:rPr>
          <w:rFonts w:eastAsiaTheme="minorHAnsi"/>
          <w:b/>
          <w:bCs/>
          <w:sz w:val="26"/>
          <w:szCs w:val="26"/>
        </w:rPr>
      </w:pPr>
    </w:p>
    <w:p w14:paraId="77D11462" w14:textId="77777777" w:rsidR="000C7A20" w:rsidRDefault="000C7A20" w:rsidP="009C3B5C">
      <w:pPr>
        <w:jc w:val="center"/>
        <w:rPr>
          <w:rFonts w:eastAsiaTheme="minorHAnsi"/>
          <w:b/>
          <w:bCs/>
          <w:sz w:val="26"/>
          <w:szCs w:val="26"/>
        </w:rPr>
      </w:pPr>
    </w:p>
    <w:p w14:paraId="68E7D130" w14:textId="77777777" w:rsidR="000C7A20" w:rsidRDefault="000C7A20" w:rsidP="009C3B5C">
      <w:pPr>
        <w:jc w:val="center"/>
        <w:rPr>
          <w:rFonts w:eastAsiaTheme="minorHAnsi"/>
          <w:b/>
          <w:bCs/>
          <w:sz w:val="26"/>
          <w:szCs w:val="26"/>
        </w:rPr>
      </w:pPr>
    </w:p>
    <w:p w14:paraId="5FD8505D" w14:textId="77777777" w:rsidR="000C7A20" w:rsidRDefault="000C7A20" w:rsidP="009C3B5C">
      <w:pPr>
        <w:jc w:val="center"/>
        <w:rPr>
          <w:rFonts w:eastAsiaTheme="minorHAnsi"/>
          <w:b/>
          <w:bCs/>
          <w:sz w:val="26"/>
          <w:szCs w:val="26"/>
        </w:rPr>
      </w:pPr>
    </w:p>
    <w:p w14:paraId="16510A9D" w14:textId="77777777" w:rsidR="000C7A20" w:rsidRDefault="000C7A20" w:rsidP="009C3B5C">
      <w:pPr>
        <w:jc w:val="center"/>
        <w:rPr>
          <w:rFonts w:eastAsiaTheme="minorHAnsi"/>
          <w:b/>
          <w:bCs/>
          <w:sz w:val="26"/>
          <w:szCs w:val="26"/>
        </w:rPr>
      </w:pPr>
    </w:p>
    <w:p w14:paraId="27C8C0B0" w14:textId="77777777" w:rsidR="000C7A20" w:rsidRDefault="000C7A20" w:rsidP="009C3B5C">
      <w:pPr>
        <w:jc w:val="center"/>
        <w:rPr>
          <w:rFonts w:eastAsiaTheme="minorHAnsi"/>
          <w:b/>
          <w:bCs/>
          <w:sz w:val="26"/>
          <w:szCs w:val="26"/>
        </w:rPr>
      </w:pPr>
    </w:p>
    <w:p w14:paraId="78796FED" w14:textId="77777777" w:rsidR="000C7A20" w:rsidRDefault="000C7A20" w:rsidP="009C3B5C">
      <w:pPr>
        <w:jc w:val="center"/>
        <w:rPr>
          <w:rFonts w:eastAsiaTheme="minorHAnsi"/>
          <w:b/>
          <w:bCs/>
          <w:sz w:val="26"/>
          <w:szCs w:val="26"/>
        </w:rPr>
      </w:pPr>
    </w:p>
    <w:p w14:paraId="3C8D6E50" w14:textId="77777777" w:rsidR="000C7A20" w:rsidRDefault="000C7A20" w:rsidP="009C3B5C">
      <w:pPr>
        <w:jc w:val="center"/>
        <w:rPr>
          <w:rFonts w:eastAsiaTheme="minorHAnsi"/>
          <w:b/>
          <w:bCs/>
          <w:sz w:val="26"/>
          <w:szCs w:val="26"/>
        </w:rPr>
      </w:pPr>
    </w:p>
    <w:p w14:paraId="28324300" w14:textId="77777777" w:rsidR="000C7A20" w:rsidRDefault="000C7A20" w:rsidP="009C3B5C">
      <w:pPr>
        <w:jc w:val="center"/>
        <w:rPr>
          <w:rFonts w:eastAsiaTheme="minorHAnsi"/>
          <w:b/>
          <w:bCs/>
          <w:sz w:val="26"/>
          <w:szCs w:val="26"/>
        </w:rPr>
      </w:pPr>
    </w:p>
    <w:p w14:paraId="7BB6FF68" w14:textId="77777777" w:rsidR="000C7A20" w:rsidRDefault="000C7A20" w:rsidP="009C3B5C">
      <w:pPr>
        <w:jc w:val="center"/>
        <w:rPr>
          <w:rFonts w:eastAsiaTheme="minorHAnsi"/>
          <w:b/>
          <w:bCs/>
          <w:sz w:val="26"/>
          <w:szCs w:val="26"/>
        </w:rPr>
      </w:pPr>
    </w:p>
    <w:p w14:paraId="3210FCF2" w14:textId="77777777" w:rsidR="000C7A20" w:rsidRDefault="000C7A20" w:rsidP="009C3B5C">
      <w:pPr>
        <w:jc w:val="center"/>
        <w:rPr>
          <w:rFonts w:eastAsiaTheme="minorHAnsi"/>
          <w:b/>
          <w:bCs/>
          <w:sz w:val="26"/>
          <w:szCs w:val="26"/>
        </w:rPr>
      </w:pPr>
    </w:p>
    <w:p w14:paraId="2204D60F" w14:textId="77777777" w:rsidR="000C7A20" w:rsidRDefault="000C7A20" w:rsidP="009C3B5C">
      <w:pPr>
        <w:jc w:val="center"/>
        <w:rPr>
          <w:rFonts w:eastAsiaTheme="minorHAnsi"/>
          <w:b/>
          <w:bCs/>
          <w:sz w:val="26"/>
          <w:szCs w:val="26"/>
        </w:rPr>
      </w:pPr>
    </w:p>
    <w:p w14:paraId="194BA629" w14:textId="77777777" w:rsidR="000C7A20" w:rsidRDefault="000C7A20" w:rsidP="009C3B5C">
      <w:pPr>
        <w:jc w:val="center"/>
        <w:rPr>
          <w:rFonts w:eastAsiaTheme="minorHAnsi"/>
          <w:b/>
          <w:bCs/>
          <w:sz w:val="26"/>
          <w:szCs w:val="26"/>
        </w:rPr>
      </w:pPr>
    </w:p>
    <w:p w14:paraId="10FB85A8" w14:textId="5C017AC7" w:rsidR="00F42AB4" w:rsidRDefault="00F71A2F" w:rsidP="009C3B5C">
      <w:pPr>
        <w:jc w:val="center"/>
        <w:rPr>
          <w:rFonts w:eastAsiaTheme="minorHAnsi"/>
          <w:b/>
          <w:bCs/>
          <w:sz w:val="26"/>
          <w:szCs w:val="26"/>
        </w:rPr>
      </w:pPr>
      <w:r w:rsidRPr="009C3B5C">
        <w:rPr>
          <w:rFonts w:eastAsiaTheme="minorHAnsi"/>
          <w:b/>
          <w:bCs/>
          <w:sz w:val="26"/>
          <w:szCs w:val="26"/>
        </w:rPr>
        <w:t xml:space="preserve">CRYPTOCURRENCY </w:t>
      </w:r>
      <w:r>
        <w:rPr>
          <w:rFonts w:eastAsiaTheme="minorHAnsi"/>
          <w:b/>
          <w:bCs/>
          <w:sz w:val="26"/>
          <w:szCs w:val="26"/>
        </w:rPr>
        <w:t>AND BLOCKCHAIN LAW</w:t>
      </w:r>
      <w:r w:rsidRPr="009C3B5C">
        <w:rPr>
          <w:rFonts w:eastAsiaTheme="minorHAnsi"/>
          <w:b/>
          <w:bCs/>
          <w:sz w:val="26"/>
          <w:szCs w:val="26"/>
        </w:rPr>
        <w:t xml:space="preserve">: </w:t>
      </w:r>
    </w:p>
    <w:p w14:paraId="5736EC43" w14:textId="77777777" w:rsidR="00F42AB4" w:rsidRDefault="00F42AB4" w:rsidP="009C3B5C">
      <w:pPr>
        <w:jc w:val="center"/>
        <w:rPr>
          <w:rFonts w:eastAsiaTheme="minorHAnsi"/>
          <w:b/>
          <w:bCs/>
          <w:sz w:val="26"/>
          <w:szCs w:val="26"/>
        </w:rPr>
      </w:pPr>
    </w:p>
    <w:p w14:paraId="07681473" w14:textId="4B074B89" w:rsidR="009C3B5C" w:rsidRDefault="00F71A2F" w:rsidP="009C3B5C">
      <w:pPr>
        <w:jc w:val="center"/>
        <w:rPr>
          <w:rFonts w:eastAsiaTheme="minorHAnsi"/>
          <w:b/>
          <w:bCs/>
          <w:sz w:val="26"/>
          <w:szCs w:val="26"/>
        </w:rPr>
      </w:pPr>
      <w:r>
        <w:rPr>
          <w:rFonts w:eastAsiaTheme="minorHAnsi"/>
          <w:b/>
          <w:bCs/>
          <w:sz w:val="26"/>
          <w:szCs w:val="26"/>
        </w:rPr>
        <w:t xml:space="preserve">SEC’S HEIGHTENED ENFORCEMENT AGAINST </w:t>
      </w:r>
      <w:r w:rsidRPr="009C3B5C">
        <w:rPr>
          <w:rFonts w:eastAsiaTheme="minorHAnsi"/>
          <w:b/>
          <w:bCs/>
          <w:sz w:val="26"/>
          <w:szCs w:val="26"/>
        </w:rPr>
        <w:t>DIGITAL ASSETS</w:t>
      </w:r>
      <w:r w:rsidR="005941E9">
        <w:rPr>
          <w:rFonts w:eastAsiaTheme="minorHAnsi"/>
          <w:b/>
          <w:bCs/>
          <w:sz w:val="26"/>
          <w:szCs w:val="26"/>
        </w:rPr>
        <w:t xml:space="preserve"> </w:t>
      </w:r>
    </w:p>
    <w:p w14:paraId="1176210B" w14:textId="77777777" w:rsidR="009C3B5C" w:rsidRPr="009C3B5C" w:rsidRDefault="009C3B5C" w:rsidP="009C3B5C">
      <w:pPr>
        <w:jc w:val="center"/>
        <w:rPr>
          <w:b/>
          <w:u w:val="single"/>
        </w:rPr>
      </w:pPr>
    </w:p>
    <w:p w14:paraId="351ECBE8" w14:textId="18412561" w:rsidR="005255E8" w:rsidRPr="009C3B5C" w:rsidRDefault="009C3B5C" w:rsidP="009C3B5C">
      <w:pPr>
        <w:jc w:val="center"/>
        <w:rPr>
          <w:bCs/>
        </w:rPr>
      </w:pPr>
      <w:r>
        <w:rPr>
          <w:bCs/>
        </w:rPr>
        <w:t>By: Andrew Bull, Esq</w:t>
      </w:r>
      <w:r>
        <w:rPr>
          <w:rStyle w:val="FootnoteReference"/>
          <w:bCs/>
        </w:rPr>
        <w:footnoteReference w:id="1"/>
      </w:r>
      <w:r w:rsidR="00C05D43">
        <w:rPr>
          <w:bCs/>
        </w:rPr>
        <w:t xml:space="preserve"> &amp; Tyler Harttraft, Esq</w:t>
      </w:r>
      <w:r w:rsidR="00935495">
        <w:rPr>
          <w:rStyle w:val="FootnoteReference"/>
          <w:bCs/>
        </w:rPr>
        <w:footnoteReference w:id="2"/>
      </w:r>
    </w:p>
    <w:p w14:paraId="4B36D556" w14:textId="77777777" w:rsidR="000C7A20" w:rsidRDefault="000C7A20" w:rsidP="000C7A20">
      <w:pPr>
        <w:spacing w:line="480" w:lineRule="auto"/>
      </w:pPr>
    </w:p>
    <w:p w14:paraId="1E340FCC" w14:textId="77777777" w:rsidR="000C7A20" w:rsidRDefault="000C7A20" w:rsidP="000C7A20">
      <w:pPr>
        <w:spacing w:line="480" w:lineRule="auto"/>
        <w:jc w:val="center"/>
        <w:sectPr w:rsidR="000C7A20" w:rsidSect="00544BBB">
          <w:headerReference w:type="default" r:id="rId8"/>
          <w:footerReference w:type="even" r:id="rId9"/>
          <w:footerReference w:type="default" r:id="rId10"/>
          <w:pgSz w:w="12240" w:h="15840"/>
          <w:pgMar w:top="720" w:right="720" w:bottom="720" w:left="720" w:header="720" w:footer="720" w:gutter="0"/>
          <w:cols w:space="720"/>
          <w:docGrid w:linePitch="360"/>
        </w:sectPr>
      </w:pPr>
    </w:p>
    <w:p w14:paraId="3BBFC68A" w14:textId="4E975210" w:rsidR="000C7A20" w:rsidRPr="00C85E1E" w:rsidRDefault="000C7A20" w:rsidP="000C7A20">
      <w:pPr>
        <w:spacing w:line="480" w:lineRule="auto"/>
        <w:jc w:val="center"/>
        <w:rPr>
          <w:b/>
          <w:bCs/>
        </w:rPr>
      </w:pPr>
      <w:r w:rsidRPr="00C85E1E">
        <w:rPr>
          <w:b/>
          <w:bCs/>
        </w:rPr>
        <w:lastRenderedPageBreak/>
        <w:t>Table of Contents</w:t>
      </w:r>
    </w:p>
    <w:p w14:paraId="4A81080A" w14:textId="67AD6BEF" w:rsidR="000C7A20" w:rsidRPr="00C85E1E" w:rsidRDefault="00CE726C" w:rsidP="000C7A20">
      <w:pPr>
        <w:pStyle w:val="ListParagraph"/>
        <w:numPr>
          <w:ilvl w:val="0"/>
          <w:numId w:val="17"/>
        </w:numPr>
        <w:spacing w:line="480" w:lineRule="auto"/>
        <w:rPr>
          <w:b/>
          <w:bCs/>
        </w:rPr>
      </w:pPr>
      <w:r w:rsidRPr="00C85E1E">
        <w:rPr>
          <w:b/>
          <w:bCs/>
        </w:rPr>
        <w:t>INTRODUCTION</w:t>
      </w:r>
    </w:p>
    <w:p w14:paraId="7CF547AB" w14:textId="168D33C1" w:rsidR="00CE726C" w:rsidRDefault="00CE726C" w:rsidP="00CE726C">
      <w:pPr>
        <w:pStyle w:val="ListParagraph"/>
        <w:numPr>
          <w:ilvl w:val="0"/>
          <w:numId w:val="17"/>
        </w:numPr>
        <w:rPr>
          <w:b/>
        </w:rPr>
      </w:pPr>
      <w:r w:rsidRPr="00CE726C">
        <w:rPr>
          <w:b/>
        </w:rPr>
        <w:t xml:space="preserve">A PRIMER ON CRYPTOCURRENCY REGULATION: </w:t>
      </w:r>
      <w:r w:rsidRPr="00CE726C">
        <w:rPr>
          <w:b/>
          <w:i/>
        </w:rPr>
        <w:t>THE DAO REPORT</w:t>
      </w:r>
      <w:r w:rsidRPr="00CE726C">
        <w:rPr>
          <w:b/>
        </w:rPr>
        <w:t xml:space="preserve">, </w:t>
      </w:r>
      <w:r w:rsidRPr="00CE726C">
        <w:rPr>
          <w:b/>
          <w:i/>
        </w:rPr>
        <w:t>MUNCHEE</w:t>
      </w:r>
      <w:r w:rsidRPr="00CE726C">
        <w:rPr>
          <w:b/>
        </w:rPr>
        <w:t>, AND BEYOND</w:t>
      </w:r>
    </w:p>
    <w:p w14:paraId="42073546" w14:textId="77777777" w:rsidR="00C56A90" w:rsidRDefault="00C56A90" w:rsidP="00C56A90">
      <w:pPr>
        <w:pStyle w:val="ListParagraph"/>
        <w:rPr>
          <w:b/>
        </w:rPr>
      </w:pPr>
    </w:p>
    <w:p w14:paraId="75353DB5" w14:textId="4E0BA1F5" w:rsidR="00C56A90" w:rsidRDefault="00C56A90" w:rsidP="00C56A90">
      <w:pPr>
        <w:pStyle w:val="ListParagraph"/>
        <w:numPr>
          <w:ilvl w:val="1"/>
          <w:numId w:val="17"/>
        </w:numPr>
        <w:rPr>
          <w:b/>
        </w:rPr>
      </w:pPr>
      <w:r>
        <w:rPr>
          <w:b/>
        </w:rPr>
        <w:t>SECURITIES LAW: THE HOWEY TEST</w:t>
      </w:r>
    </w:p>
    <w:p w14:paraId="2F5119C2" w14:textId="77777777" w:rsidR="00A87E37" w:rsidRDefault="00A87E37" w:rsidP="00A87E37">
      <w:pPr>
        <w:pStyle w:val="ListParagraph"/>
        <w:ind w:left="1440"/>
        <w:rPr>
          <w:b/>
        </w:rPr>
      </w:pPr>
    </w:p>
    <w:p w14:paraId="265735C0" w14:textId="5D94A815" w:rsidR="00A87E37" w:rsidRDefault="00A87E37" w:rsidP="00A87E37">
      <w:pPr>
        <w:pStyle w:val="ListParagraph"/>
        <w:numPr>
          <w:ilvl w:val="1"/>
          <w:numId w:val="17"/>
        </w:numPr>
        <w:rPr>
          <w:b/>
        </w:rPr>
      </w:pPr>
      <w:r>
        <w:rPr>
          <w:b/>
        </w:rPr>
        <w:t>SEC TARGETS CRYPTOCURRENCY</w:t>
      </w:r>
    </w:p>
    <w:p w14:paraId="62F847B6" w14:textId="77777777" w:rsidR="00A87E37" w:rsidRPr="00A87E37" w:rsidRDefault="00A87E37" w:rsidP="00A87E37">
      <w:pPr>
        <w:pStyle w:val="ListParagraph"/>
        <w:rPr>
          <w:b/>
        </w:rPr>
      </w:pPr>
    </w:p>
    <w:p w14:paraId="2B01110F" w14:textId="4B425F49" w:rsidR="00A87E37" w:rsidRDefault="00A87E37" w:rsidP="00A87E37">
      <w:pPr>
        <w:pStyle w:val="ListParagraph"/>
        <w:numPr>
          <w:ilvl w:val="1"/>
          <w:numId w:val="17"/>
        </w:numPr>
        <w:rPr>
          <w:b/>
        </w:rPr>
      </w:pPr>
      <w:r w:rsidRPr="00D30067">
        <w:rPr>
          <w:b/>
        </w:rPr>
        <w:t xml:space="preserve">HOWEY TEST APPLIED: </w:t>
      </w:r>
      <w:r>
        <w:rPr>
          <w:b/>
        </w:rPr>
        <w:t>RIPPLE (XRP)</w:t>
      </w:r>
    </w:p>
    <w:p w14:paraId="4C4E4D82" w14:textId="77777777" w:rsidR="00A87E37" w:rsidRPr="00A87E37" w:rsidRDefault="00A87E37" w:rsidP="00A87E37">
      <w:pPr>
        <w:rPr>
          <w:b/>
        </w:rPr>
      </w:pPr>
    </w:p>
    <w:p w14:paraId="40F75708" w14:textId="3A427338" w:rsidR="000C7A20" w:rsidRPr="00C85E1E" w:rsidRDefault="00CE726C" w:rsidP="000C7A20">
      <w:pPr>
        <w:pStyle w:val="ListParagraph"/>
        <w:numPr>
          <w:ilvl w:val="0"/>
          <w:numId w:val="17"/>
        </w:numPr>
        <w:spacing w:line="480" w:lineRule="auto"/>
        <w:rPr>
          <w:b/>
          <w:bCs/>
        </w:rPr>
        <w:sectPr w:rsidR="000C7A20" w:rsidRPr="00C85E1E" w:rsidSect="00544BBB">
          <w:pgSz w:w="12240" w:h="15840"/>
          <w:pgMar w:top="720" w:right="720" w:bottom="720" w:left="720" w:header="720" w:footer="720" w:gutter="0"/>
          <w:cols w:space="720"/>
          <w:docGrid w:linePitch="360"/>
        </w:sectPr>
      </w:pPr>
      <w:r w:rsidRPr="00C85E1E">
        <w:rPr>
          <w:b/>
          <w:bCs/>
        </w:rPr>
        <w:t>CONCLUSION</w:t>
      </w:r>
    </w:p>
    <w:p w14:paraId="40D52AE1" w14:textId="77777777" w:rsidR="00B62FCF" w:rsidRPr="00B62FCF" w:rsidRDefault="00B62FCF" w:rsidP="00B62FCF"/>
    <w:p w14:paraId="3B2E9674" w14:textId="65F674D0" w:rsidR="000B3A37" w:rsidRPr="009358D4" w:rsidRDefault="000B3A37" w:rsidP="009358D4">
      <w:pPr>
        <w:pStyle w:val="ListParagraph"/>
        <w:numPr>
          <w:ilvl w:val="0"/>
          <w:numId w:val="3"/>
        </w:numPr>
      </w:pPr>
      <w:r w:rsidRPr="009358D4">
        <w:rPr>
          <w:b/>
        </w:rPr>
        <w:t>INTRODUCTION</w:t>
      </w:r>
      <w:r w:rsidR="0070629F" w:rsidRPr="009358D4">
        <w:rPr>
          <w:b/>
        </w:rPr>
        <w:t>:</w:t>
      </w:r>
    </w:p>
    <w:p w14:paraId="34B26CDA" w14:textId="79D8F987" w:rsidR="000B3A37" w:rsidRPr="009358D4" w:rsidRDefault="000B3A37" w:rsidP="009358D4"/>
    <w:p w14:paraId="3F095D35" w14:textId="552CE5E5" w:rsidR="00CE726C" w:rsidRDefault="00D249E0" w:rsidP="00CE726C">
      <w:pPr>
        <w:spacing w:line="480" w:lineRule="auto"/>
        <w:ind w:firstLine="720"/>
        <w:rPr>
          <w:color w:val="000000"/>
        </w:rPr>
      </w:pPr>
      <w:r>
        <w:rPr>
          <w:color w:val="000000"/>
        </w:rPr>
        <w:t xml:space="preserve">The creation of </w:t>
      </w:r>
      <w:r w:rsidR="006968D6">
        <w:rPr>
          <w:color w:val="000000"/>
        </w:rPr>
        <w:t xml:space="preserve">Bitcoin, a decentralized peer-to-peer cryptocurrency, forever changed </w:t>
      </w:r>
      <w:r>
        <w:rPr>
          <w:color w:val="000000"/>
        </w:rPr>
        <w:t xml:space="preserve">how information </w:t>
      </w:r>
      <w:r w:rsidR="000E5974">
        <w:rPr>
          <w:color w:val="000000"/>
        </w:rPr>
        <w:t xml:space="preserve">and asset ownership </w:t>
      </w:r>
      <w:r>
        <w:rPr>
          <w:color w:val="000000"/>
        </w:rPr>
        <w:t>is transferred, verified, and processed via the internet.</w:t>
      </w:r>
      <w:r w:rsidR="00203A9D">
        <w:rPr>
          <w:rStyle w:val="FootnoteReference"/>
          <w:color w:val="000000"/>
        </w:rPr>
        <w:footnoteReference w:id="3"/>
      </w:r>
      <w:r>
        <w:rPr>
          <w:color w:val="000000"/>
        </w:rPr>
        <w:t xml:space="preserve"> The underlying technology to Bitcoin, called Blockchain, spawned a technological</w:t>
      </w:r>
      <w:r w:rsidR="000E5974">
        <w:rPr>
          <w:color w:val="000000"/>
        </w:rPr>
        <w:t xml:space="preserve"> revolution that sought to alter the global system of </w:t>
      </w:r>
      <w:r w:rsidR="006C5D5B">
        <w:rPr>
          <w:color w:val="000000"/>
        </w:rPr>
        <w:t>asset</w:t>
      </w:r>
      <w:r w:rsidR="000E5974">
        <w:rPr>
          <w:color w:val="000000"/>
        </w:rPr>
        <w:t xml:space="preserve"> ownership</w:t>
      </w:r>
      <w:r>
        <w:rPr>
          <w:color w:val="000000"/>
        </w:rPr>
        <w:t>.</w:t>
      </w:r>
      <w:r w:rsidR="0017183E">
        <w:rPr>
          <w:rStyle w:val="FootnoteReference"/>
          <w:color w:val="000000"/>
        </w:rPr>
        <w:footnoteReference w:id="4"/>
      </w:r>
      <w:r>
        <w:rPr>
          <w:color w:val="000000"/>
        </w:rPr>
        <w:t xml:space="preserve"> </w:t>
      </w:r>
      <w:r w:rsidR="000E5974">
        <w:rPr>
          <w:color w:val="000000"/>
        </w:rPr>
        <w:t xml:space="preserve">Moving </w:t>
      </w:r>
      <w:r w:rsidR="006C5D5B">
        <w:rPr>
          <w:color w:val="000000"/>
        </w:rPr>
        <w:t xml:space="preserve">away </w:t>
      </w:r>
      <w:r w:rsidR="000E5974">
        <w:rPr>
          <w:color w:val="000000"/>
        </w:rPr>
        <w:t xml:space="preserve">from </w:t>
      </w:r>
      <w:r w:rsidR="006352FC">
        <w:rPr>
          <w:color w:val="000000"/>
        </w:rPr>
        <w:t>centralization</w:t>
      </w:r>
      <w:r w:rsidR="000E5974">
        <w:rPr>
          <w:color w:val="000000"/>
        </w:rPr>
        <w:t xml:space="preserve"> and governance, Blockchain </w:t>
      </w:r>
      <w:r w:rsidR="006C5D5B">
        <w:rPr>
          <w:color w:val="000000"/>
        </w:rPr>
        <w:t xml:space="preserve">and cryptocurrencies </w:t>
      </w:r>
      <w:r w:rsidR="00CE726C">
        <w:rPr>
          <w:color w:val="000000"/>
        </w:rPr>
        <w:t>provided a decentralized alternative ownership option, that challenged</w:t>
      </w:r>
      <w:r w:rsidR="006C5D5B">
        <w:rPr>
          <w:color w:val="000000"/>
        </w:rPr>
        <w:t xml:space="preserve"> traditional finance and jurisdictional considerations</w:t>
      </w:r>
      <w:r w:rsidR="000E5974">
        <w:rPr>
          <w:color w:val="000000"/>
        </w:rPr>
        <w:t>.</w:t>
      </w:r>
      <w:r w:rsidR="00736DA0">
        <w:rPr>
          <w:rStyle w:val="FootnoteReference"/>
          <w:color w:val="000000"/>
        </w:rPr>
        <w:footnoteReference w:id="5"/>
      </w:r>
      <w:r w:rsidR="000E5974">
        <w:rPr>
          <w:color w:val="000000"/>
        </w:rPr>
        <w:t xml:space="preserve"> </w:t>
      </w:r>
      <w:r w:rsidR="00CE726C">
        <w:rPr>
          <w:color w:val="000000"/>
        </w:rPr>
        <w:t xml:space="preserve">With limited legal precedent and academic research, regulators and lawmakers struggled to apply traditional legal rules to this nascent technology, </w:t>
      </w:r>
      <w:r w:rsidR="00B957C6">
        <w:rPr>
          <w:color w:val="000000"/>
        </w:rPr>
        <w:t xml:space="preserve">leaving </w:t>
      </w:r>
      <w:r>
        <w:rPr>
          <w:color w:val="000000"/>
        </w:rPr>
        <w:t xml:space="preserve">significant legal questions </w:t>
      </w:r>
      <w:r w:rsidR="00CE726C">
        <w:rPr>
          <w:color w:val="000000"/>
        </w:rPr>
        <w:t>unanswered</w:t>
      </w:r>
      <w:r>
        <w:rPr>
          <w:color w:val="000000"/>
        </w:rPr>
        <w:t>.</w:t>
      </w:r>
      <w:r w:rsidR="00CE726C">
        <w:rPr>
          <w:rStyle w:val="FootnoteReference"/>
          <w:color w:val="000000"/>
        </w:rPr>
        <w:footnoteReference w:id="6"/>
      </w:r>
      <w:r w:rsidR="00CE726C">
        <w:rPr>
          <w:color w:val="000000"/>
        </w:rPr>
        <w:t xml:space="preserve"> At the center of this confusion was whether </w:t>
      </w:r>
      <w:r w:rsidR="00B957C6">
        <w:rPr>
          <w:color w:val="000000"/>
        </w:rPr>
        <w:t xml:space="preserve">certain </w:t>
      </w:r>
      <w:r w:rsidR="00CE726C">
        <w:rPr>
          <w:color w:val="000000"/>
        </w:rPr>
        <w:t xml:space="preserve"> cryptocurrenc</w:t>
      </w:r>
      <w:r w:rsidR="00B957C6">
        <w:rPr>
          <w:color w:val="000000"/>
        </w:rPr>
        <w:t>ies</w:t>
      </w:r>
      <w:r w:rsidR="00CE726C">
        <w:rPr>
          <w:color w:val="000000"/>
        </w:rPr>
        <w:t xml:space="preserve"> </w:t>
      </w:r>
      <w:r w:rsidR="00B957C6">
        <w:rPr>
          <w:color w:val="000000"/>
        </w:rPr>
        <w:t xml:space="preserve">would </w:t>
      </w:r>
      <w:r w:rsidR="00CE726C">
        <w:rPr>
          <w:color w:val="000000"/>
        </w:rPr>
        <w:t xml:space="preserve">be </w:t>
      </w:r>
      <w:r w:rsidR="00092697">
        <w:rPr>
          <w:color w:val="000000"/>
        </w:rPr>
        <w:t xml:space="preserve">categorized </w:t>
      </w:r>
      <w:r w:rsidR="00CE726C">
        <w:rPr>
          <w:color w:val="000000"/>
        </w:rPr>
        <w:t>a</w:t>
      </w:r>
      <w:r w:rsidR="00B957C6">
        <w:rPr>
          <w:color w:val="000000"/>
        </w:rPr>
        <w:t>s a</w:t>
      </w:r>
      <w:r w:rsidR="00CE726C">
        <w:rPr>
          <w:color w:val="000000"/>
        </w:rPr>
        <w:t xml:space="preserve"> security under U.S. law.</w:t>
      </w:r>
      <w:r w:rsidR="00092697">
        <w:rPr>
          <w:color w:val="000000"/>
        </w:rPr>
        <w:t xml:space="preserve"> </w:t>
      </w:r>
    </w:p>
    <w:p w14:paraId="5180B932" w14:textId="5FB4C49B" w:rsidR="00CE726C" w:rsidRDefault="002D0466" w:rsidP="00CE726C">
      <w:pPr>
        <w:spacing w:line="480" w:lineRule="auto"/>
        <w:ind w:firstLine="720"/>
        <w:rPr>
          <w:color w:val="222222"/>
        </w:rPr>
      </w:pPr>
      <w:r>
        <w:rPr>
          <w:color w:val="000000"/>
        </w:rPr>
        <w:t xml:space="preserve">For years, industry stakeholders operated with little to no clarity regarding whether the tokens they were creating could run afoul of U.S. Securities laws. </w:t>
      </w:r>
      <w:r w:rsidR="00CE726C">
        <w:rPr>
          <w:color w:val="000000"/>
        </w:rPr>
        <w:t xml:space="preserve">That is until 2017, at the height of the cryptocurrency market boom, with crypto prices hitting all-time highs and companies raising billions of dollars through initial coin offerings (“ICOs”), </w:t>
      </w:r>
      <w:r w:rsidR="0059775D">
        <w:rPr>
          <w:color w:val="000000"/>
        </w:rPr>
        <w:t xml:space="preserve">the </w:t>
      </w:r>
      <w:r w:rsidR="0059775D" w:rsidRPr="00E3621E">
        <w:rPr>
          <w:color w:val="222222"/>
        </w:rPr>
        <w:t>United States Securities and Exchange Commission (the “Commission” or the “SEC”)</w:t>
      </w:r>
      <w:r w:rsidR="0059775D">
        <w:rPr>
          <w:color w:val="222222"/>
        </w:rPr>
        <w:t xml:space="preserve"> </w:t>
      </w:r>
      <w:r w:rsidR="00CE726C">
        <w:rPr>
          <w:color w:val="222222"/>
        </w:rPr>
        <w:t xml:space="preserve">saw its opportunity and </w:t>
      </w:r>
      <w:r w:rsidR="0059775D">
        <w:rPr>
          <w:color w:val="222222"/>
        </w:rPr>
        <w:t>issued a seminal administrative ruling</w:t>
      </w:r>
      <w:r w:rsidR="00B957C6">
        <w:rPr>
          <w:color w:val="222222"/>
        </w:rPr>
        <w:t xml:space="preserve"> which </w:t>
      </w:r>
      <w:proofErr w:type="spellStart"/>
      <w:r w:rsidR="00B957C6">
        <w:rPr>
          <w:color w:val="222222"/>
        </w:rPr>
        <w:t>categorized</w:t>
      </w:r>
      <w:r w:rsidR="00DC0E08">
        <w:rPr>
          <w:color w:val="222222"/>
        </w:rPr>
        <w:t>a</w:t>
      </w:r>
      <w:proofErr w:type="spellEnd"/>
      <w:r w:rsidR="00DC0E08">
        <w:rPr>
          <w:color w:val="222222"/>
        </w:rPr>
        <w:t xml:space="preserve"> cryptocurrency as a security under </w:t>
      </w:r>
      <w:r>
        <w:rPr>
          <w:color w:val="222222"/>
        </w:rPr>
        <w:t xml:space="preserve">the </w:t>
      </w:r>
      <w:r w:rsidR="00DC0E08" w:rsidRPr="009358D4">
        <w:t>United States Securities Act of 1933 (the “Securities Act”)</w:t>
      </w:r>
      <w:r w:rsidR="00DC0E08">
        <w:rPr>
          <w:color w:val="000000"/>
        </w:rPr>
        <w:t xml:space="preserve"> for the first time in history</w:t>
      </w:r>
      <w:r w:rsidR="0059775D">
        <w:rPr>
          <w:color w:val="222222"/>
        </w:rPr>
        <w:t>.</w:t>
      </w:r>
      <w:r w:rsidR="000E5974">
        <w:rPr>
          <w:rStyle w:val="FootnoteReference"/>
          <w:color w:val="222222"/>
        </w:rPr>
        <w:footnoteReference w:id="7"/>
      </w:r>
    </w:p>
    <w:p w14:paraId="6575DE07" w14:textId="5862F81F" w:rsidR="00BB5EFB" w:rsidRPr="00BB5EFB" w:rsidRDefault="00BB5EFB" w:rsidP="00BB5EFB">
      <w:pPr>
        <w:spacing w:line="480" w:lineRule="auto"/>
        <w:ind w:firstLine="720"/>
        <w:rPr>
          <w:color w:val="222222"/>
        </w:rPr>
      </w:pPr>
      <w:r>
        <w:rPr>
          <w:color w:val="222222"/>
        </w:rPr>
        <w:t>Since 2017, several key points of clarity have come from the SEC and other U.S. governmental agencies.</w:t>
      </w:r>
      <w:r w:rsidR="004017A0">
        <w:rPr>
          <w:rStyle w:val="FootnoteReference"/>
          <w:color w:val="222222"/>
        </w:rPr>
        <w:footnoteReference w:id="8"/>
      </w:r>
      <w:r>
        <w:rPr>
          <w:color w:val="222222"/>
        </w:rPr>
        <w:t xml:space="preserve"> </w:t>
      </w:r>
      <w:r>
        <w:rPr>
          <w:rFonts w:eastAsiaTheme="minorHAnsi"/>
        </w:rPr>
        <w:t>However, while the</w:t>
      </w:r>
      <w:r w:rsidRPr="00BB5EFB">
        <w:rPr>
          <w:rFonts w:eastAsiaTheme="minorHAnsi"/>
        </w:rPr>
        <w:t xml:space="preserve"> SEC has progressivel</w:t>
      </w:r>
      <w:r>
        <w:rPr>
          <w:rFonts w:eastAsiaTheme="minorHAnsi"/>
        </w:rPr>
        <w:t xml:space="preserve">y </w:t>
      </w:r>
      <w:r w:rsidRPr="00BB5EFB">
        <w:rPr>
          <w:rFonts w:eastAsiaTheme="minorHAnsi"/>
        </w:rPr>
        <w:t xml:space="preserve">worked to refine its guidance, it has only stated that </w:t>
      </w:r>
      <w:r w:rsidRPr="00BB5EFB">
        <w:rPr>
          <w:rFonts w:eastAsiaTheme="minorHAnsi"/>
        </w:rPr>
        <w:lastRenderedPageBreak/>
        <w:t xml:space="preserve">Bitcoin and </w:t>
      </w:r>
      <w:r w:rsidR="00C17BF1">
        <w:rPr>
          <w:rFonts w:eastAsiaTheme="minorHAnsi"/>
        </w:rPr>
        <w:t>Ethereum</w:t>
      </w:r>
      <w:r w:rsidR="00C44C0A">
        <w:rPr>
          <w:rStyle w:val="FootnoteReference"/>
          <w:rFonts w:eastAsiaTheme="minorHAnsi"/>
        </w:rPr>
        <w:footnoteReference w:id="9"/>
      </w:r>
      <w:r w:rsidR="00C17BF1">
        <w:rPr>
          <w:rFonts w:eastAsiaTheme="minorHAnsi"/>
        </w:rPr>
        <w:t xml:space="preserve"> (“ether” or “ETH”)</w:t>
      </w:r>
      <w:r w:rsidRPr="00BB5EFB">
        <w:rPr>
          <w:rFonts w:eastAsiaTheme="minorHAnsi"/>
        </w:rPr>
        <w:t xml:space="preserve"> are not securities; </w:t>
      </w:r>
      <w:r w:rsidR="00B957C6">
        <w:rPr>
          <w:rFonts w:eastAsiaTheme="minorHAnsi"/>
        </w:rPr>
        <w:t xml:space="preserve">whether </w:t>
      </w:r>
      <w:r>
        <w:rPr>
          <w:rFonts w:eastAsiaTheme="minorHAnsi"/>
        </w:rPr>
        <w:t xml:space="preserve">other </w:t>
      </w:r>
      <w:r w:rsidR="00B42AE4">
        <w:rPr>
          <w:rFonts w:eastAsiaTheme="minorHAnsi"/>
        </w:rPr>
        <w:t>digital assets</w:t>
      </w:r>
      <w:r>
        <w:rPr>
          <w:rFonts w:eastAsiaTheme="minorHAnsi"/>
        </w:rPr>
        <w:t xml:space="preserve"> are </w:t>
      </w:r>
      <w:r w:rsidR="00B957C6">
        <w:rPr>
          <w:rFonts w:eastAsiaTheme="minorHAnsi"/>
        </w:rPr>
        <w:t>securities will be determined on a case-by-case basis</w:t>
      </w:r>
      <w:r>
        <w:rPr>
          <w:rFonts w:eastAsiaTheme="minorHAnsi"/>
        </w:rPr>
        <w:t>.</w:t>
      </w:r>
      <w:r w:rsidR="001D420E">
        <w:rPr>
          <w:rStyle w:val="FootnoteReference"/>
          <w:rFonts w:eastAsiaTheme="minorHAnsi"/>
        </w:rPr>
        <w:footnoteReference w:id="10"/>
      </w:r>
      <w:r>
        <w:rPr>
          <w:rFonts w:eastAsiaTheme="minorHAnsi"/>
        </w:rPr>
        <w:t xml:space="preserve"> </w:t>
      </w:r>
      <w:r w:rsidR="00E02160">
        <w:rPr>
          <w:rFonts w:eastAsiaTheme="minorHAnsi"/>
        </w:rPr>
        <w:t xml:space="preserve">This lack of </w:t>
      </w:r>
      <w:r w:rsidR="00092697">
        <w:rPr>
          <w:rFonts w:eastAsiaTheme="minorHAnsi"/>
        </w:rPr>
        <w:t>clear regulation</w:t>
      </w:r>
      <w:r w:rsidR="00E02160">
        <w:rPr>
          <w:rFonts w:eastAsiaTheme="minorHAnsi"/>
        </w:rPr>
        <w:t xml:space="preserve"> creates an undesirable market within the U.S. for entities contemplating </w:t>
      </w:r>
      <w:r w:rsidR="00092697">
        <w:rPr>
          <w:rFonts w:eastAsiaTheme="minorHAnsi"/>
        </w:rPr>
        <w:t>issuing a token</w:t>
      </w:r>
      <w:r w:rsidR="00E02160">
        <w:rPr>
          <w:rFonts w:eastAsiaTheme="minorHAnsi"/>
        </w:rPr>
        <w:t>.</w:t>
      </w:r>
      <w:r w:rsidR="00DA2D71">
        <w:rPr>
          <w:rStyle w:val="FootnoteReference"/>
          <w:rFonts w:eastAsiaTheme="minorHAnsi"/>
        </w:rPr>
        <w:footnoteReference w:id="11"/>
      </w:r>
      <w:r w:rsidR="00E02160">
        <w:rPr>
          <w:rFonts w:eastAsiaTheme="minorHAnsi"/>
        </w:rPr>
        <w:t xml:space="preserve"> </w:t>
      </w:r>
      <w:r w:rsidR="00B957C6">
        <w:rPr>
          <w:rFonts w:eastAsiaTheme="minorHAnsi"/>
        </w:rPr>
        <w:t>Several e</w:t>
      </w:r>
      <w:r w:rsidR="00E02160">
        <w:rPr>
          <w:rFonts w:eastAsiaTheme="minorHAnsi"/>
        </w:rPr>
        <w:t xml:space="preserve">ntities </w:t>
      </w:r>
      <w:r w:rsidR="00B957C6">
        <w:rPr>
          <w:rFonts w:eastAsiaTheme="minorHAnsi"/>
        </w:rPr>
        <w:t xml:space="preserve">vacated </w:t>
      </w:r>
      <w:r w:rsidR="00E02160">
        <w:rPr>
          <w:rFonts w:eastAsiaTheme="minorHAnsi"/>
        </w:rPr>
        <w:t>the U.S.</w:t>
      </w:r>
      <w:r w:rsidR="00092697">
        <w:rPr>
          <w:rFonts w:eastAsiaTheme="minorHAnsi"/>
        </w:rPr>
        <w:t xml:space="preserve"> because of the</w:t>
      </w:r>
      <w:r w:rsidR="00B957C6">
        <w:rPr>
          <w:rFonts w:eastAsiaTheme="minorHAnsi"/>
        </w:rPr>
        <w:t>ir</w:t>
      </w:r>
      <w:r w:rsidR="00092697">
        <w:rPr>
          <w:rFonts w:eastAsiaTheme="minorHAnsi"/>
        </w:rPr>
        <w:t xml:space="preserve"> heightened </w:t>
      </w:r>
      <w:r w:rsidR="00B957C6">
        <w:rPr>
          <w:rFonts w:eastAsiaTheme="minorHAnsi"/>
        </w:rPr>
        <w:t xml:space="preserve">concerns over </w:t>
      </w:r>
      <w:r w:rsidR="00092697">
        <w:rPr>
          <w:rFonts w:eastAsiaTheme="minorHAnsi"/>
        </w:rPr>
        <w:t>securities regulations</w:t>
      </w:r>
      <w:r w:rsidR="00B957C6">
        <w:rPr>
          <w:rFonts w:eastAsiaTheme="minorHAnsi"/>
        </w:rPr>
        <w:t>. T</w:t>
      </w:r>
      <w:r w:rsidR="00092697">
        <w:rPr>
          <w:rFonts w:eastAsiaTheme="minorHAnsi"/>
        </w:rPr>
        <w:t xml:space="preserve">he lack of clarity </w:t>
      </w:r>
      <w:r w:rsidR="00E02160">
        <w:rPr>
          <w:rFonts w:eastAsiaTheme="minorHAnsi"/>
        </w:rPr>
        <w:t>has also stifled innovation in the blockchain industry due to the strict requirements even the smallest entities must adhere to.</w:t>
      </w:r>
      <w:r w:rsidR="00C42E12">
        <w:rPr>
          <w:rStyle w:val="FootnoteReference"/>
          <w:rFonts w:eastAsiaTheme="minorHAnsi"/>
        </w:rPr>
        <w:footnoteReference w:id="12"/>
      </w:r>
      <w:r w:rsidR="00E02160">
        <w:rPr>
          <w:rFonts w:eastAsiaTheme="minorHAnsi"/>
        </w:rPr>
        <w:t xml:space="preserve"> Further clarity is needed</w:t>
      </w:r>
      <w:r w:rsidR="00B957C6">
        <w:rPr>
          <w:rFonts w:eastAsiaTheme="minorHAnsi"/>
        </w:rPr>
        <w:t>,</w:t>
      </w:r>
      <w:r w:rsidR="00E02160">
        <w:rPr>
          <w:rFonts w:eastAsiaTheme="minorHAnsi"/>
        </w:rPr>
        <w:t xml:space="preserve"> or else the U.S. will be left behind the many other jurisdictions fostering innovation for fundraising and technological development</w:t>
      </w:r>
      <w:r w:rsidR="00092697">
        <w:rPr>
          <w:rFonts w:eastAsiaTheme="minorHAnsi"/>
        </w:rPr>
        <w:t xml:space="preserve"> through Blockchain</w:t>
      </w:r>
      <w:r w:rsidR="00E02160">
        <w:rPr>
          <w:rFonts w:eastAsiaTheme="minorHAnsi"/>
        </w:rPr>
        <w:t xml:space="preserve">. </w:t>
      </w:r>
    </w:p>
    <w:p w14:paraId="27DF45AE" w14:textId="1D8E9CC4" w:rsidR="00CE726C" w:rsidRDefault="00CE726C" w:rsidP="00CE726C">
      <w:pPr>
        <w:pStyle w:val="ListParagraph"/>
        <w:numPr>
          <w:ilvl w:val="0"/>
          <w:numId w:val="3"/>
        </w:numPr>
        <w:rPr>
          <w:b/>
        </w:rPr>
      </w:pPr>
      <w:r w:rsidRPr="00CE726C">
        <w:rPr>
          <w:b/>
        </w:rPr>
        <w:t xml:space="preserve">A PRIMER ON CRYPTOCURRENCY REGULATION: </w:t>
      </w:r>
      <w:r w:rsidRPr="00CE726C">
        <w:rPr>
          <w:b/>
          <w:i/>
        </w:rPr>
        <w:t>THE DAO REPORT</w:t>
      </w:r>
      <w:r w:rsidRPr="00CE726C">
        <w:rPr>
          <w:b/>
        </w:rPr>
        <w:t xml:space="preserve">, </w:t>
      </w:r>
      <w:r w:rsidRPr="00CE726C">
        <w:rPr>
          <w:b/>
          <w:i/>
        </w:rPr>
        <w:t>MUNCHEE</w:t>
      </w:r>
      <w:r w:rsidRPr="00CE726C">
        <w:rPr>
          <w:b/>
        </w:rPr>
        <w:t>, AND BEYOND</w:t>
      </w:r>
    </w:p>
    <w:p w14:paraId="0320D011" w14:textId="4CAB5952" w:rsidR="00C56A90" w:rsidRDefault="00C56A90" w:rsidP="00C56A90">
      <w:pPr>
        <w:rPr>
          <w:b/>
        </w:rPr>
      </w:pPr>
    </w:p>
    <w:p w14:paraId="437561D5" w14:textId="0C8B3D7B" w:rsidR="00FA4F03" w:rsidRDefault="00C56A90" w:rsidP="00C56A90">
      <w:pPr>
        <w:spacing w:line="480" w:lineRule="auto"/>
        <w:ind w:firstLine="720"/>
      </w:pPr>
      <w:r>
        <w:rPr>
          <w:rFonts w:eastAsiaTheme="minorHAnsi"/>
        </w:rPr>
        <w:t>B</w:t>
      </w:r>
      <w:r w:rsidRPr="000010A4">
        <w:rPr>
          <w:rFonts w:eastAsiaTheme="minorHAnsi"/>
        </w:rPr>
        <w:t xml:space="preserve">lockchain technology </w:t>
      </w:r>
      <w:r>
        <w:rPr>
          <w:rFonts w:eastAsiaTheme="minorHAnsi"/>
        </w:rPr>
        <w:t>requires lawyers and regulators</w:t>
      </w:r>
      <w:r w:rsidRPr="000010A4">
        <w:rPr>
          <w:rFonts w:eastAsiaTheme="minorHAnsi"/>
        </w:rPr>
        <w:t xml:space="preserve"> </w:t>
      </w:r>
      <w:r>
        <w:rPr>
          <w:rFonts w:eastAsiaTheme="minorHAnsi"/>
        </w:rPr>
        <w:t>to combine</w:t>
      </w:r>
      <w:r w:rsidRPr="000010A4">
        <w:rPr>
          <w:rFonts w:eastAsiaTheme="minorHAnsi"/>
        </w:rPr>
        <w:t xml:space="preserve"> technology and law.</w:t>
      </w:r>
      <w:r>
        <w:rPr>
          <w:rFonts w:eastAsiaTheme="minorHAnsi"/>
        </w:rPr>
        <w:t xml:space="preserve"> A legal structure predicated on the technological innovation of Blockchain must adhere to the technical differences that separates cryptocurrencies apart from traditional assets. </w:t>
      </w:r>
      <w:r>
        <w:t xml:space="preserve">While authoritative decisions have provided </w:t>
      </w:r>
      <w:r w:rsidR="007555A2">
        <w:t xml:space="preserve">some </w:t>
      </w:r>
      <w:r>
        <w:t xml:space="preserve">clarity, these opinions are insufficient due to the lack of legislative precedent that would allow judges and regulators to expand upon traditional notions of securities regulation. </w:t>
      </w:r>
    </w:p>
    <w:p w14:paraId="648E801E" w14:textId="2225B963" w:rsidR="00C56A90" w:rsidRPr="00C56A90" w:rsidRDefault="00FA4F03" w:rsidP="00C56A90">
      <w:pPr>
        <w:spacing w:line="480" w:lineRule="auto"/>
        <w:ind w:firstLine="720"/>
      </w:pPr>
      <w:r>
        <w:t>A</w:t>
      </w:r>
      <w:r w:rsidR="007555A2">
        <w:t xml:space="preserve"> comprehensive change </w:t>
      </w:r>
      <w:r w:rsidR="00692F90">
        <w:t>requires</w:t>
      </w:r>
      <w:r w:rsidR="00324116">
        <w:t xml:space="preserve"> </w:t>
      </w:r>
      <w:r w:rsidR="00692F90">
        <w:t xml:space="preserve">increasing </w:t>
      </w:r>
      <w:r w:rsidR="007555A2">
        <w:t>access to digital assets</w:t>
      </w:r>
      <w:r w:rsidR="00324116">
        <w:t>,</w:t>
      </w:r>
      <w:r w:rsidR="007555A2">
        <w:t xml:space="preserve"> </w:t>
      </w:r>
      <w:r w:rsidR="00692F90">
        <w:t>and</w:t>
      </w:r>
      <w:r w:rsidR="007555A2">
        <w:t xml:space="preserve"> </w:t>
      </w:r>
      <w:r w:rsidR="00324116">
        <w:t>reconsidering the</w:t>
      </w:r>
      <w:r w:rsidR="007555A2">
        <w:t xml:space="preserve"> specific factors used to determine whether digital assets are “investment contracts” under the Securities Act</w:t>
      </w:r>
      <w:r w:rsidR="00324116">
        <w:t xml:space="preserve">. Indeed, while new factors may be difficult to generate via the judiciary, Congress and/or the SEC </w:t>
      </w:r>
      <w:r w:rsidR="007555A2">
        <w:t xml:space="preserve">should </w:t>
      </w:r>
      <w:r w:rsidR="00324116">
        <w:t>focus on creating a more robust framework</w:t>
      </w:r>
      <w:r w:rsidR="007555A2">
        <w:t xml:space="preserve"> molded with modern concepts of decentralization and digital transactions. </w:t>
      </w:r>
      <w:r w:rsidR="00010F5E">
        <w:rPr>
          <w:rFonts w:eastAsiaTheme="minorHAnsi"/>
        </w:rPr>
        <w:t xml:space="preserve">To </w:t>
      </w:r>
      <w:r w:rsidR="00010F5E">
        <w:rPr>
          <w:rFonts w:eastAsiaTheme="minorHAnsi"/>
        </w:rPr>
        <w:lastRenderedPageBreak/>
        <w:t xml:space="preserve">better frame this discussion, we must first evaluate the way </w:t>
      </w:r>
      <w:r w:rsidR="00010F5E" w:rsidRPr="009358D4">
        <w:t>U.S. federal courts and regulatory administrative agencies</w:t>
      </w:r>
      <w:r w:rsidR="00010F5E">
        <w:t xml:space="preserve"> have</w:t>
      </w:r>
      <w:r w:rsidR="00010F5E" w:rsidRPr="009358D4">
        <w:t xml:space="preserve"> </w:t>
      </w:r>
      <w:r w:rsidR="00010F5E">
        <w:t>applied</w:t>
      </w:r>
      <w:r w:rsidR="00010F5E" w:rsidRPr="009358D4">
        <w:t xml:space="preserve"> </w:t>
      </w:r>
      <w:r w:rsidR="00692F90">
        <w:t>extant laws</w:t>
      </w:r>
      <w:r w:rsidR="00010F5E">
        <w:t xml:space="preserve"> </w:t>
      </w:r>
      <w:r w:rsidR="00692F90">
        <w:t xml:space="preserve">to </w:t>
      </w:r>
      <w:r w:rsidR="00010F5E" w:rsidRPr="009358D4">
        <w:t xml:space="preserve">digital </w:t>
      </w:r>
      <w:r w:rsidR="00010F5E">
        <w:t>assets</w:t>
      </w:r>
      <w:r w:rsidR="00010F5E" w:rsidRPr="009358D4">
        <w:t>.</w:t>
      </w:r>
      <w:r w:rsidR="00010F5E" w:rsidRPr="009358D4">
        <w:rPr>
          <w:rStyle w:val="FootnoteReference"/>
        </w:rPr>
        <w:footnoteReference w:id="13"/>
      </w:r>
    </w:p>
    <w:p w14:paraId="74954540" w14:textId="50B88174" w:rsidR="00C56A90" w:rsidRPr="00CE726C" w:rsidRDefault="00C56A90" w:rsidP="00C56A90">
      <w:pPr>
        <w:pStyle w:val="ListParagraph"/>
        <w:numPr>
          <w:ilvl w:val="1"/>
          <w:numId w:val="3"/>
        </w:numPr>
        <w:rPr>
          <w:b/>
        </w:rPr>
      </w:pPr>
      <w:r>
        <w:rPr>
          <w:b/>
        </w:rPr>
        <w:t xml:space="preserve">SECURITIES LAW: </w:t>
      </w:r>
      <w:r w:rsidR="00EA4E59">
        <w:rPr>
          <w:b/>
        </w:rPr>
        <w:t xml:space="preserve">A BRIEF HISTORY OF </w:t>
      </w:r>
      <w:r>
        <w:rPr>
          <w:b/>
        </w:rPr>
        <w:t>THE HOWEY TEST</w:t>
      </w:r>
      <w:r w:rsidR="00C61BE2">
        <w:rPr>
          <w:b/>
        </w:rPr>
        <w:t xml:space="preserve"> </w:t>
      </w:r>
    </w:p>
    <w:p w14:paraId="3404D2B8" w14:textId="04BB2AED" w:rsidR="005A3F8C" w:rsidRPr="009358D4" w:rsidRDefault="005A3F8C" w:rsidP="009358D4">
      <w:pPr>
        <w:rPr>
          <w:b/>
        </w:rPr>
      </w:pPr>
    </w:p>
    <w:p w14:paraId="045A4208" w14:textId="48933E10" w:rsidR="005A3F8C" w:rsidRPr="009358D4" w:rsidRDefault="005A3F8C" w:rsidP="00567E31">
      <w:pPr>
        <w:spacing w:line="480" w:lineRule="auto"/>
        <w:ind w:firstLine="720"/>
        <w:jc w:val="both"/>
      </w:pPr>
      <w:r w:rsidRPr="009358D4">
        <w:t>Section 2(a)(1) of the Securities Act of 1933 defines “securities” as: “any note, stock, treasury stock, security future, security-based swap, bond, debenture, evidence of indebtedness, certificate of interest or participation in any profit-sharing agreement … investment contract … or, in general, any interest or instrument commonly known as a ‘security’, or any certificate of interest or participation in, temporary or interim certificate for, receipt for, guarantee of, or warrant or right to subscribe to or purchase, any of the foregoing.”</w:t>
      </w:r>
      <w:r w:rsidRPr="009358D4">
        <w:rPr>
          <w:rStyle w:val="FootnoteReference"/>
        </w:rPr>
        <w:footnoteReference w:id="14"/>
      </w:r>
      <w:r w:rsidRPr="009358D4">
        <w:t xml:space="preserve"> A broad definition, Section 2(a)(1) carries significant precedent regarding statutory interpretation. </w:t>
      </w:r>
    </w:p>
    <w:p w14:paraId="18CF8EBB" w14:textId="3D8D655B" w:rsidR="00BA5036" w:rsidRPr="009358D4" w:rsidRDefault="005A3F8C" w:rsidP="00BA5036">
      <w:pPr>
        <w:spacing w:line="480" w:lineRule="auto"/>
        <w:ind w:firstLine="720"/>
        <w:jc w:val="both"/>
      </w:pPr>
      <w:r w:rsidRPr="009358D4">
        <w:t xml:space="preserve">The seminal Supreme Court case for interpreting Section 2(a)(1) is </w:t>
      </w:r>
      <w:r w:rsidRPr="009358D4">
        <w:rPr>
          <w:i/>
        </w:rPr>
        <w:t>SEC v. Howey</w:t>
      </w:r>
      <w:r w:rsidR="00EA4E59">
        <w:rPr>
          <w:i/>
        </w:rPr>
        <w:t>,</w:t>
      </w:r>
      <w:r w:rsidRPr="009358D4">
        <w:rPr>
          <w:rStyle w:val="FootnoteReference"/>
          <w:i/>
        </w:rPr>
        <w:footnoteReference w:id="15"/>
      </w:r>
      <w:r w:rsidRPr="009358D4">
        <w:t xml:space="preserve"> </w:t>
      </w:r>
      <w:r w:rsidR="00692F90">
        <w:t xml:space="preserve">from </w:t>
      </w:r>
      <w:r w:rsidR="00EA4E59">
        <w:t xml:space="preserve">which </w:t>
      </w:r>
      <w:r w:rsidR="00692F90">
        <w:t>the often cited</w:t>
      </w:r>
      <w:r w:rsidR="00692F90" w:rsidRPr="009358D4">
        <w:t xml:space="preserve"> </w:t>
      </w:r>
      <w:r w:rsidRPr="009358D4">
        <w:rPr>
          <w:i/>
        </w:rPr>
        <w:t>Howey</w:t>
      </w:r>
      <w:r w:rsidRPr="009358D4">
        <w:t xml:space="preserve"> test </w:t>
      </w:r>
      <w:r w:rsidR="00692F90">
        <w:t xml:space="preserve">was created </w:t>
      </w:r>
      <w:r w:rsidRPr="009358D4">
        <w:t>to determine whether an instrument meets the definition of a “security” under the Securities Act.</w:t>
      </w:r>
      <w:r w:rsidRPr="009358D4">
        <w:rPr>
          <w:rStyle w:val="FootnoteReference"/>
        </w:rPr>
        <w:footnoteReference w:id="16"/>
      </w:r>
      <w:r w:rsidRPr="009358D4">
        <w:t xml:space="preserve"> In </w:t>
      </w:r>
      <w:r w:rsidRPr="009358D4">
        <w:rPr>
          <w:i/>
        </w:rPr>
        <w:t>Howey</w:t>
      </w:r>
      <w:r w:rsidRPr="009358D4">
        <w:t>, the Court held that units of a citrus grove, coupled with a contract for serving the grove, was an investment contract.</w:t>
      </w:r>
      <w:r w:rsidRPr="009358D4">
        <w:rPr>
          <w:rStyle w:val="FootnoteReference"/>
        </w:rPr>
        <w:footnoteReference w:id="17"/>
      </w:r>
      <w:r w:rsidRPr="009358D4">
        <w:t xml:space="preserve"> </w:t>
      </w:r>
      <w:r w:rsidR="00BA5036" w:rsidRPr="00BA5036">
        <w:t>The defendants offered buyers the option of leasing any purchased land back to the defendants, who would then tend to the land, and harvest, pool, and market the citrus.</w:t>
      </w:r>
      <w:r w:rsidR="00BA5036">
        <w:rPr>
          <w:rStyle w:val="FootnoteReference"/>
        </w:rPr>
        <w:footnoteReference w:id="18"/>
      </w:r>
      <w:r w:rsidR="00BA5036" w:rsidRPr="00BA5036">
        <w:t xml:space="preserve"> The SEC sued defendants over these transactions, claiming they broke the law by not filing a securities registration statement.</w:t>
      </w:r>
      <w:r w:rsidR="00BA5036">
        <w:rPr>
          <w:rStyle w:val="FootnoteReference"/>
        </w:rPr>
        <w:footnoteReference w:id="19"/>
      </w:r>
      <w:r w:rsidR="00BA5036" w:rsidRPr="00BA5036">
        <w:t xml:space="preserve"> The Supreme Court, in issuing its decision finding the defendants' leaseback agreement is a form of security, developed a landmark test for determining whether certain transactions are investment contracts.</w:t>
      </w:r>
    </w:p>
    <w:p w14:paraId="4BC9D6ED" w14:textId="75B4A42D" w:rsidR="005A3F8C" w:rsidRPr="009358D4" w:rsidRDefault="005A3F8C" w:rsidP="00567E31">
      <w:pPr>
        <w:spacing w:line="480" w:lineRule="auto"/>
        <w:ind w:firstLine="720"/>
        <w:jc w:val="both"/>
      </w:pPr>
      <w:r w:rsidRPr="009358D4">
        <w:t xml:space="preserve">The Court in </w:t>
      </w:r>
      <w:r w:rsidRPr="009358D4">
        <w:rPr>
          <w:i/>
        </w:rPr>
        <w:t>Howey</w:t>
      </w:r>
      <w:r w:rsidRPr="009358D4">
        <w:t xml:space="preserve"> specifically defined the term “investment contract” within the definition of a “security,” noting it has been used to classify instruments that are of a “more variable character” that may be </w:t>
      </w:r>
      <w:r w:rsidRPr="009358D4">
        <w:lastRenderedPageBreak/>
        <w:t>considered a form of “contract, transaction, or scheme whereby an investor lays out money in a way intended to secure income or profit from its employment.”</w:t>
      </w:r>
      <w:r w:rsidRPr="009358D4">
        <w:rPr>
          <w:rStyle w:val="FootnoteReference"/>
        </w:rPr>
        <w:footnoteReference w:id="20"/>
      </w:r>
      <w:r w:rsidRPr="009358D4">
        <w:t xml:space="preserve"> The Supreme Court has recognized lower courts subsequently have required only an expectation of profits from the efforts of others, rather than solely from the efforts of others</w:t>
      </w:r>
      <w:r w:rsidR="00A7193D">
        <w:t xml:space="preserve"> when determining whether a financial instrument is a security. </w:t>
      </w:r>
      <w:r w:rsidRPr="009358D4">
        <w:rPr>
          <w:rStyle w:val="FootnoteReference"/>
        </w:rPr>
        <w:footnoteReference w:id="21"/>
      </w:r>
    </w:p>
    <w:p w14:paraId="5A4C3DBC" w14:textId="5C2ED8CB" w:rsidR="005A3F8C" w:rsidRPr="009358D4" w:rsidRDefault="005A3F8C" w:rsidP="00567E31">
      <w:pPr>
        <w:spacing w:line="480" w:lineRule="auto"/>
        <w:ind w:firstLine="720"/>
      </w:pPr>
      <w:r w:rsidRPr="009358D4">
        <w:t xml:space="preserve">The </w:t>
      </w:r>
      <w:r w:rsidR="00FE4953" w:rsidRPr="00FE4953">
        <w:rPr>
          <w:i/>
          <w:iCs/>
        </w:rPr>
        <w:t>Howey</w:t>
      </w:r>
      <w:r w:rsidR="00FE4953">
        <w:t xml:space="preserve"> </w:t>
      </w:r>
      <w:r w:rsidRPr="009358D4">
        <w:t xml:space="preserve">test is divided into four prongs: </w:t>
      </w:r>
    </w:p>
    <w:p w14:paraId="39E93A3A" w14:textId="77777777" w:rsidR="005A3F8C" w:rsidRPr="009358D4" w:rsidRDefault="005A3F8C" w:rsidP="009358D4">
      <w:pPr>
        <w:ind w:left="720"/>
      </w:pPr>
      <w:r w:rsidRPr="009358D4">
        <w:t>An investment contract for purposes of the Securities Act means a contract, transaction or scheme whereby a person [1] invests his [or her] money in [2] a common enterprise and is led to [3] expect profits [4] solely from the efforts of the promoter or a third party, [excluded factors] it being immaterial whether the shares in the enterprise are evidenced by formal certificates or by nominal interests in the physical assets employed in the enterprise.</w:t>
      </w:r>
      <w:r w:rsidRPr="009358D4">
        <w:rPr>
          <w:rStyle w:val="FootnoteReference"/>
        </w:rPr>
        <w:footnoteReference w:id="22"/>
      </w:r>
      <w:r w:rsidRPr="009358D4">
        <w:t xml:space="preserve"> </w:t>
      </w:r>
    </w:p>
    <w:p w14:paraId="436B903F" w14:textId="77777777" w:rsidR="005A3F8C" w:rsidRPr="009358D4" w:rsidRDefault="005A3F8C" w:rsidP="009358D4">
      <w:pPr>
        <w:ind w:left="720"/>
      </w:pPr>
    </w:p>
    <w:p w14:paraId="3C7F0B39" w14:textId="2E978A82" w:rsidR="00011F77" w:rsidRDefault="005A3F8C" w:rsidP="00567E31">
      <w:pPr>
        <w:spacing w:line="480" w:lineRule="auto"/>
      </w:pPr>
      <w:r w:rsidRPr="009358D4">
        <w:t xml:space="preserve">In order to be considered a security, all four factors must be met. In other words, if an instrument does not satisfy the requirements of the </w:t>
      </w:r>
      <w:r w:rsidRPr="009358D4">
        <w:rPr>
          <w:i/>
        </w:rPr>
        <w:t xml:space="preserve">Howey </w:t>
      </w:r>
      <w:r w:rsidRPr="009358D4">
        <w:t>test, it is not an investment contract</w:t>
      </w:r>
      <w:r w:rsidR="00011F77">
        <w:t xml:space="preserve">, and thus not a security. </w:t>
      </w:r>
      <w:r w:rsidRPr="009358D4">
        <w:t xml:space="preserve"> </w:t>
      </w:r>
    </w:p>
    <w:p w14:paraId="21B7924A" w14:textId="5D2E3920" w:rsidR="00567E31" w:rsidRPr="006E5923" w:rsidRDefault="005A3F8C" w:rsidP="00011F77">
      <w:pPr>
        <w:spacing w:line="480" w:lineRule="auto"/>
        <w:ind w:firstLine="720"/>
      </w:pPr>
      <w:r w:rsidRPr="006E5923">
        <w:t xml:space="preserve">For example, in </w:t>
      </w:r>
      <w:r w:rsidRPr="006E5923">
        <w:rPr>
          <w:i/>
        </w:rPr>
        <w:t>International Brotherhood of Teamsters v. Daniel</w:t>
      </w:r>
      <w:r w:rsidRPr="006E5923">
        <w:t>,</w:t>
      </w:r>
      <w:r w:rsidRPr="006E5923">
        <w:rPr>
          <w:rStyle w:val="FootnoteReference"/>
        </w:rPr>
        <w:footnoteReference w:id="23"/>
      </w:r>
      <w:r w:rsidRPr="006E5923">
        <w:t xml:space="preserve"> the Court held interests in a noncontributory, compulsory pension plan were not investment contracts because there was </w:t>
      </w:r>
      <w:r w:rsidR="00FE4953">
        <w:t>“</w:t>
      </w:r>
      <w:r w:rsidRPr="006E5923">
        <w:t>no investment</w:t>
      </w:r>
      <w:r w:rsidR="00FE4953">
        <w:t>”</w:t>
      </w:r>
      <w:r w:rsidRPr="006E5923">
        <w:t xml:space="preserve"> of money and no expectation of profit from a common enterprise.</w:t>
      </w:r>
      <w:r w:rsidRPr="006E5923">
        <w:rPr>
          <w:rStyle w:val="FootnoteReference"/>
        </w:rPr>
        <w:footnoteReference w:id="24"/>
      </w:r>
      <w:r w:rsidRPr="006E5923">
        <w:t xml:space="preserve"> The Court also has held an investment contract is no</w:t>
      </w:r>
      <w:r w:rsidR="00D25494" w:rsidRPr="006E5923">
        <w:t>t</w:t>
      </w:r>
      <w:r w:rsidRPr="006E5923">
        <w:t xml:space="preserve"> present “when a purchaser is motivated by a desire to use or consume the item purchased.”</w:t>
      </w:r>
      <w:r w:rsidRPr="006E5923">
        <w:rPr>
          <w:rStyle w:val="FootnoteReference"/>
        </w:rPr>
        <w:footnoteReference w:id="25"/>
      </w:r>
      <w:r w:rsidRPr="006E5923">
        <w:t xml:space="preserve"> </w:t>
      </w:r>
      <w:r w:rsidR="00FE4953">
        <w:t>I</w:t>
      </w:r>
      <w:r w:rsidRPr="006E5923">
        <w:t xml:space="preserve">n </w:t>
      </w:r>
      <w:r w:rsidR="006E5923" w:rsidRPr="006E5923">
        <w:rPr>
          <w:i/>
        </w:rPr>
        <w:t>United Housing Found., Inc. v. Forman</w:t>
      </w:r>
      <w:r w:rsidRPr="006E5923">
        <w:t>, the Court held, among other things, that shares in a nonprofit cooperative housing corporation were not investment contracts because “investors were attracted solely by the prospect of acquiring a place to live, and no</w:t>
      </w:r>
      <w:r w:rsidR="00287CFF">
        <w:t>t</w:t>
      </w:r>
      <w:r w:rsidRPr="006E5923">
        <w:t xml:space="preserve"> by financial returns on their investments.”</w:t>
      </w:r>
      <w:r w:rsidRPr="006E5923">
        <w:rPr>
          <w:rStyle w:val="FootnoteReference"/>
        </w:rPr>
        <w:footnoteReference w:id="26"/>
      </w:r>
    </w:p>
    <w:p w14:paraId="4C8761E2" w14:textId="36802FC2" w:rsidR="005A3F8C" w:rsidRPr="009358D4" w:rsidRDefault="005A3F8C" w:rsidP="00567E31">
      <w:pPr>
        <w:spacing w:line="480" w:lineRule="auto"/>
        <w:ind w:firstLine="720"/>
      </w:pPr>
      <w:r w:rsidRPr="009358D4">
        <w:lastRenderedPageBreak/>
        <w:t xml:space="preserve">Considering this precedent, U.S. Courts have interpreted the </w:t>
      </w:r>
      <w:r w:rsidRPr="009358D4">
        <w:rPr>
          <w:i/>
        </w:rPr>
        <w:t>Howey</w:t>
      </w:r>
      <w:r w:rsidRPr="009358D4">
        <w:t xml:space="preserve"> test broadly, </w:t>
      </w:r>
      <w:r w:rsidRPr="009358D4">
        <w:rPr>
          <w:i/>
        </w:rPr>
        <w:t>e.g.</w:t>
      </w:r>
      <w:r w:rsidRPr="009358D4">
        <w:t>, an investment of money may include not only the provision of capital, assets and cash, but also goods, services or a promissory note.</w:t>
      </w:r>
      <w:r w:rsidRPr="009358D4">
        <w:rPr>
          <w:rStyle w:val="FootnoteReference"/>
        </w:rPr>
        <w:footnoteReference w:id="27"/>
      </w:r>
      <w:r w:rsidRPr="009358D4">
        <w:t xml:space="preserve"> Indeed, according to the Supreme Court, the </w:t>
      </w:r>
      <w:r w:rsidRPr="009358D4">
        <w:rPr>
          <w:i/>
        </w:rPr>
        <w:t>Howey</w:t>
      </w:r>
      <w:r w:rsidRPr="009358D4">
        <w:t xml:space="preserve"> test “embodies a flexible rather than a static principle, one capable of adaptation to meet the countless and variable schemes devised by those who seek the use of the money of others on the promise of profits.”</w:t>
      </w:r>
      <w:r w:rsidRPr="009358D4">
        <w:rPr>
          <w:rStyle w:val="FootnoteReference"/>
        </w:rPr>
        <w:footnoteReference w:id="28"/>
      </w:r>
      <w:r w:rsidRPr="009358D4">
        <w:t xml:space="preserve"> </w:t>
      </w:r>
    </w:p>
    <w:p w14:paraId="00C2FA90" w14:textId="782788C0" w:rsidR="005A3F8C" w:rsidRPr="00AD08D5" w:rsidRDefault="004B0191" w:rsidP="00567E31">
      <w:pPr>
        <w:spacing w:line="480" w:lineRule="auto"/>
        <w:ind w:firstLine="720"/>
      </w:pPr>
      <w:r>
        <w:t>T</w:t>
      </w:r>
      <w:r w:rsidR="005A3F8C" w:rsidRPr="00AD08D5">
        <w:t xml:space="preserve">his consumer protection precedent provides a fact specific application to ensure any interpretation does not go beyond not only the intended purpose of the </w:t>
      </w:r>
      <w:r w:rsidR="005A3F8C" w:rsidRPr="00AD08D5">
        <w:rPr>
          <w:i/>
        </w:rPr>
        <w:t xml:space="preserve">Howey </w:t>
      </w:r>
      <w:r w:rsidR="005A3F8C" w:rsidRPr="00AD08D5">
        <w:t xml:space="preserve">test, but also the statutory language within the Securities Act. Overall, the test eschews classification based on formalities, such as offering stock certificates, or terminology, such as selling “shares” or “stock,” in favor of a flexible test based on economic circumstances. </w:t>
      </w:r>
      <w:r w:rsidR="00AD08D5" w:rsidRPr="00AD08D5">
        <w:t>As the</w:t>
      </w:r>
      <w:r w:rsidR="005A3F8C" w:rsidRPr="00AD08D5">
        <w:t xml:space="preserve"> </w:t>
      </w:r>
      <w:r w:rsidR="00AD08D5" w:rsidRPr="00AD08D5">
        <w:rPr>
          <w:i/>
        </w:rPr>
        <w:t>Tcherepnin v. Knight</w:t>
      </w:r>
      <w:r w:rsidR="00AD08D5" w:rsidRPr="00AD08D5">
        <w:t xml:space="preserve"> </w:t>
      </w:r>
      <w:r w:rsidR="005A3F8C" w:rsidRPr="00AD08D5">
        <w:t>opinion affirms, “in searching for the meaning and scope of the word ‘security’ . . . form should be disregarded for substance and the emphasis should be on economic reality.”</w:t>
      </w:r>
      <w:r w:rsidR="005A3F8C" w:rsidRPr="00AD08D5">
        <w:rPr>
          <w:rStyle w:val="FootnoteReference"/>
        </w:rPr>
        <w:footnoteReference w:id="29"/>
      </w:r>
    </w:p>
    <w:p w14:paraId="53132986" w14:textId="582D529E" w:rsidR="005A3F8C" w:rsidRPr="00946050" w:rsidRDefault="00BF7782" w:rsidP="00567E31">
      <w:pPr>
        <w:spacing w:line="480" w:lineRule="auto"/>
        <w:ind w:firstLine="720"/>
      </w:pPr>
      <w:r>
        <w:t xml:space="preserve">Generating </w:t>
      </w:r>
      <w:r w:rsidR="001B0C40">
        <w:t>t</w:t>
      </w:r>
      <w:r w:rsidR="00D0238F">
        <w:t>oken</w:t>
      </w:r>
      <w:r>
        <w:t>s</w:t>
      </w:r>
      <w:r w:rsidR="005A3F8C" w:rsidRPr="009358D4">
        <w:t xml:space="preserve"> via a blockchain platform can</w:t>
      </w:r>
      <w:r w:rsidR="00652E99">
        <w:t xml:space="preserve"> </w:t>
      </w:r>
      <w:r w:rsidR="00E85FC8">
        <w:t>create</w:t>
      </w:r>
      <w:r w:rsidR="00652E99">
        <w:t xml:space="preserve"> a security and </w:t>
      </w:r>
      <w:r w:rsidR="005A3F8C" w:rsidRPr="009358D4">
        <w:t>be characterized as taking “nominal interests in the physical assets employed in the enterprise.”</w:t>
      </w:r>
      <w:r w:rsidR="005A3F8C" w:rsidRPr="009358D4">
        <w:rPr>
          <w:rStyle w:val="FootnoteReference"/>
        </w:rPr>
        <w:footnoteReference w:id="30"/>
      </w:r>
      <w:r w:rsidR="005A3F8C" w:rsidRPr="009358D4">
        <w:t xml:space="preserve"> Indeed, cryptocurrency technology has, assuredly, been utilized </w:t>
      </w:r>
      <w:r w:rsidR="00652E99">
        <w:t xml:space="preserve">in certain circumstances </w:t>
      </w:r>
      <w:r w:rsidR="005A3F8C" w:rsidRPr="009358D4">
        <w:t xml:space="preserve">as persuasive window-dressing in the marketing of </w:t>
      </w:r>
      <w:r w:rsidR="00372181" w:rsidRPr="009358D4">
        <w:t>Ponzi</w:t>
      </w:r>
      <w:r w:rsidR="005A3F8C" w:rsidRPr="009358D4">
        <w:t xml:space="preserve"> schemes, or to use the </w:t>
      </w:r>
      <w:r w:rsidRPr="00BF7782">
        <w:rPr>
          <w:i/>
          <w:iCs/>
        </w:rPr>
        <w:t>Howey</w:t>
      </w:r>
      <w:r>
        <w:t xml:space="preserve"> </w:t>
      </w:r>
      <w:r w:rsidR="005A3F8C" w:rsidRPr="009358D4">
        <w:t>Court’s terms, “schemes devised by those who seek the use of the money of others on the promise of profits.”</w:t>
      </w:r>
      <w:r w:rsidR="005A3F8C" w:rsidRPr="009358D4">
        <w:rPr>
          <w:rStyle w:val="FootnoteReference"/>
        </w:rPr>
        <w:footnoteReference w:id="31"/>
      </w:r>
      <w:r w:rsidR="005A3F8C" w:rsidRPr="009358D4">
        <w:t xml:space="preserve"> </w:t>
      </w:r>
      <w:r w:rsidR="004F313F">
        <w:t xml:space="preserve">This is a reality of the industry, and certain regulatory actions regarding </w:t>
      </w:r>
      <w:r w:rsidR="004F313F" w:rsidRPr="00946050">
        <w:t xml:space="preserve">cryptocurrency projects are certainly justified. </w:t>
      </w:r>
    </w:p>
    <w:p w14:paraId="47D333A9" w14:textId="3B340CAE" w:rsidR="00477AF1" w:rsidRDefault="00586B98" w:rsidP="00567E31">
      <w:pPr>
        <w:spacing w:line="480" w:lineRule="auto"/>
        <w:ind w:firstLine="720"/>
      </w:pPr>
      <w:r>
        <w:t>With that said</w:t>
      </w:r>
      <w:r w:rsidR="005A3F8C" w:rsidRPr="00946050">
        <w:t xml:space="preserve">, </w:t>
      </w:r>
      <w:r w:rsidR="00652E99" w:rsidRPr="00946050">
        <w:t xml:space="preserve">each case requires a fact specific application, and Courts and administrative agencies </w:t>
      </w:r>
      <w:r w:rsidR="00E85FC8">
        <w:t>are continually</w:t>
      </w:r>
      <w:r w:rsidR="00652E99" w:rsidRPr="00946050">
        <w:t xml:space="preserve"> hard pressed to </w:t>
      </w:r>
      <w:r w:rsidR="00E85FC8">
        <w:t xml:space="preserve">properly apply the </w:t>
      </w:r>
      <w:r w:rsidR="00E85FC8" w:rsidRPr="00477AF1">
        <w:rPr>
          <w:i/>
          <w:iCs/>
        </w:rPr>
        <w:t>Howey</w:t>
      </w:r>
      <w:r w:rsidR="00E85FC8">
        <w:t xml:space="preserve"> test without forgoing unique considerations applicable to digital assets</w:t>
      </w:r>
      <w:r w:rsidR="00477AF1">
        <w:t>, e.g., borderless transactions, decentralized governance, and an ever expanding global marketplace</w:t>
      </w:r>
      <w:r w:rsidR="00E85FC8">
        <w:t>.</w:t>
      </w:r>
      <w:r w:rsidR="00652E99" w:rsidRPr="00946050">
        <w:t xml:space="preserve"> </w:t>
      </w:r>
      <w:r w:rsidR="00477AF1">
        <w:t>Indeed, as detailed in the SEC’s administrative opinions (described below), an industry wide take-</w:t>
      </w:r>
      <w:r w:rsidR="00477AF1">
        <w:lastRenderedPageBreak/>
        <w:t xml:space="preserve">away is that single point administrative opinions should not be the stand-alone resource for constructing an evaluation framework for digital assets. </w:t>
      </w:r>
    </w:p>
    <w:p w14:paraId="70EF3445" w14:textId="75029057" w:rsidR="005A3F8C" w:rsidRPr="009358D4" w:rsidRDefault="00A87E37" w:rsidP="009358D4">
      <w:pPr>
        <w:pStyle w:val="ListParagraph"/>
        <w:numPr>
          <w:ilvl w:val="1"/>
          <w:numId w:val="3"/>
        </w:numPr>
        <w:rPr>
          <w:b/>
        </w:rPr>
      </w:pPr>
      <w:r>
        <w:rPr>
          <w:b/>
        </w:rPr>
        <w:t>SEC TARGETS CRYPTOCURRENCY</w:t>
      </w:r>
    </w:p>
    <w:p w14:paraId="7B3F5158" w14:textId="2ECF29EE" w:rsidR="005A3F8C" w:rsidRPr="009358D4" w:rsidRDefault="005A3F8C" w:rsidP="009358D4">
      <w:pPr>
        <w:rPr>
          <w:b/>
        </w:rPr>
      </w:pPr>
    </w:p>
    <w:p w14:paraId="42EB4498" w14:textId="44AECA39" w:rsidR="00D15873" w:rsidRDefault="005A3F8C" w:rsidP="00567E31">
      <w:pPr>
        <w:spacing w:line="480" w:lineRule="auto"/>
        <w:ind w:firstLine="720"/>
      </w:pPr>
      <w:r w:rsidRPr="009358D4">
        <w:t xml:space="preserve">In July 2013, the SEC brought its first enforcement action, </w:t>
      </w:r>
      <w:r w:rsidRPr="009358D4">
        <w:rPr>
          <w:i/>
        </w:rPr>
        <w:t>SEC v. Shavers</w:t>
      </w:r>
      <w:r w:rsidRPr="009358D4">
        <w:t>, directed at the cryptocurrency industry by filing a federal action against an operator of an alleged Ponzi scheme based on “bitcoin d</w:t>
      </w:r>
      <w:r w:rsidR="000B3AE8">
        <w:t>en</w:t>
      </w:r>
      <w:r w:rsidRPr="009358D4">
        <w:t>ominated investments.”</w:t>
      </w:r>
      <w:r w:rsidRPr="009358D4">
        <w:rPr>
          <w:rStyle w:val="FootnoteReference"/>
        </w:rPr>
        <w:footnoteReference w:id="32"/>
      </w:r>
      <w:r w:rsidRPr="009358D4">
        <w:t xml:space="preserve"> There, the SEC argued the “investments” fell under the catch-all category of securities known as “investment contracts,” and thus constituted securities.</w:t>
      </w:r>
      <w:r w:rsidRPr="009358D4">
        <w:rPr>
          <w:rStyle w:val="FootnoteReference"/>
        </w:rPr>
        <w:footnoteReference w:id="33"/>
      </w:r>
      <w:r w:rsidRPr="009358D4">
        <w:t xml:space="preserve"> Conversely, the defendant argued that, because investors paid in Bitcoin, rather than money, the first prong (</w:t>
      </w:r>
      <w:r w:rsidRPr="009358D4">
        <w:rPr>
          <w:i/>
        </w:rPr>
        <w:t xml:space="preserve">i.e., </w:t>
      </w:r>
      <w:r w:rsidRPr="009358D4">
        <w:t>investment of money) was not satisfied.</w:t>
      </w:r>
      <w:r w:rsidRPr="009358D4">
        <w:rPr>
          <w:rStyle w:val="FootnoteReference"/>
        </w:rPr>
        <w:footnoteReference w:id="34"/>
      </w:r>
      <w:r w:rsidRPr="009358D4">
        <w:t xml:space="preserve"> The Court disagreed, holding that Bitcoin, as a cryptocurrency, could be considered a “form” of money, and as a </w:t>
      </w:r>
      <w:r w:rsidR="001B0C40">
        <w:t>t</w:t>
      </w:r>
      <w:r w:rsidR="00D0238F">
        <w:t>oken</w:t>
      </w:r>
      <w:r w:rsidRPr="009358D4">
        <w:t>, the investments were securities.</w:t>
      </w:r>
      <w:r w:rsidRPr="009358D4">
        <w:rPr>
          <w:rStyle w:val="FootnoteReference"/>
        </w:rPr>
        <w:footnoteReference w:id="35"/>
      </w:r>
      <w:r w:rsidRPr="009358D4">
        <w:t xml:space="preserve"> </w:t>
      </w:r>
    </w:p>
    <w:p w14:paraId="77790970" w14:textId="025CF337" w:rsidR="005A3F8C" w:rsidRPr="009358D4" w:rsidRDefault="005A3F8C" w:rsidP="00567E31">
      <w:pPr>
        <w:spacing w:line="480" w:lineRule="auto"/>
        <w:ind w:firstLine="720"/>
      </w:pPr>
      <w:r w:rsidRPr="009358D4">
        <w:t xml:space="preserve">That following month, then-SEC Chair Mary Jo White elaborated that the SEC has jurisdiction over “interests issued by entities owning virtual currencies or providing returns based on assets such as virtual currencies” regardless of whether the underlying cryptocurrency, </w:t>
      </w:r>
      <w:r w:rsidRPr="009358D4">
        <w:rPr>
          <w:i/>
        </w:rPr>
        <w:t>e.g.</w:t>
      </w:r>
      <w:r w:rsidRPr="009358D4">
        <w:t>, Bitcoin, is itself a security.</w:t>
      </w:r>
      <w:r w:rsidRPr="009358D4">
        <w:rPr>
          <w:rStyle w:val="FootnoteReference"/>
        </w:rPr>
        <w:footnoteReference w:id="36"/>
      </w:r>
      <w:r w:rsidRPr="009358D4">
        <w:t xml:space="preserve"> This set the stage for regulatory enforcement precedent regarding the SEC</w:t>
      </w:r>
      <w:r w:rsidR="00F01133">
        <w:t>.</w:t>
      </w:r>
    </w:p>
    <w:p w14:paraId="5C886434" w14:textId="7256B583" w:rsidR="005A3F8C" w:rsidRPr="009358D4" w:rsidRDefault="00493103" w:rsidP="00567E31">
      <w:pPr>
        <w:spacing w:line="480" w:lineRule="auto"/>
        <w:ind w:firstLine="720"/>
      </w:pPr>
      <w:r>
        <w:t xml:space="preserve">However, </w:t>
      </w:r>
      <w:r w:rsidR="005A3F8C" w:rsidRPr="009358D4">
        <w:t xml:space="preserve">actions taken by the SEC over the next few years would contradict both the </w:t>
      </w:r>
      <w:r w:rsidR="005A3F8C" w:rsidRPr="009358D4">
        <w:rPr>
          <w:i/>
        </w:rPr>
        <w:t xml:space="preserve">Shavers </w:t>
      </w:r>
      <w:r w:rsidR="005A3F8C" w:rsidRPr="009358D4">
        <w:t>ruling as well as Chairman White’s statements.</w:t>
      </w:r>
      <w:r w:rsidR="005A3F8C" w:rsidRPr="009358D4">
        <w:rPr>
          <w:rStyle w:val="FootnoteReference"/>
        </w:rPr>
        <w:footnoteReference w:id="37"/>
      </w:r>
      <w:r w:rsidR="005A3F8C" w:rsidRPr="009358D4">
        <w:t xml:space="preserve"> Indeed, the cryptocurrency and blockchain industry as a whole lacked significant regulatory guidance regarding the application of securities laws towards </w:t>
      </w:r>
      <w:r w:rsidR="001B0C40">
        <w:t>t</w:t>
      </w:r>
      <w:r w:rsidR="00D0238F">
        <w:t>oken</w:t>
      </w:r>
      <w:r w:rsidR="005A3F8C" w:rsidRPr="009358D4">
        <w:t xml:space="preserve">s up until the SEC </w:t>
      </w:r>
      <w:r w:rsidR="005A3F8C" w:rsidRPr="009358D4">
        <w:lastRenderedPageBreak/>
        <w:t xml:space="preserve">issued </w:t>
      </w:r>
      <w:r w:rsidRPr="00493103">
        <w:rPr>
          <w:i/>
        </w:rPr>
        <w:t>T</w:t>
      </w:r>
      <w:r w:rsidR="005A3F8C" w:rsidRPr="00493103">
        <w:rPr>
          <w:i/>
        </w:rPr>
        <w:t>he DAO Report</w:t>
      </w:r>
      <w:r w:rsidR="005A3F8C" w:rsidRPr="009358D4">
        <w:t xml:space="preserve"> in July 2017.</w:t>
      </w:r>
      <w:r w:rsidR="005A3F8C" w:rsidRPr="009358D4">
        <w:rPr>
          <w:rStyle w:val="FootnoteReference"/>
        </w:rPr>
        <w:footnoteReference w:id="38"/>
      </w:r>
      <w:r w:rsidR="005A3F8C" w:rsidRPr="009358D4">
        <w:t xml:space="preserve"> This report not only launched the SEC to the forefront of the industry as a leading regulatory agency, it also represented the first time the SEC </w:t>
      </w:r>
      <w:r>
        <w:t xml:space="preserve">categorized a </w:t>
      </w:r>
      <w:r w:rsidR="001B0C40">
        <w:t>t</w:t>
      </w:r>
      <w:r w:rsidR="00D0238F">
        <w:t>oken</w:t>
      </w:r>
      <w:r w:rsidR="005A3F8C" w:rsidRPr="009358D4">
        <w:t xml:space="preserve"> </w:t>
      </w:r>
      <w:r>
        <w:t>as</w:t>
      </w:r>
      <w:r w:rsidR="005A3F8C" w:rsidRPr="009358D4">
        <w:t xml:space="preserve"> a security.</w:t>
      </w:r>
      <w:r w:rsidR="005A3F8C" w:rsidRPr="009358D4">
        <w:rPr>
          <w:rStyle w:val="FootnoteReference"/>
        </w:rPr>
        <w:footnoteReference w:id="39"/>
      </w:r>
      <w:r w:rsidR="005A3F8C" w:rsidRPr="009358D4">
        <w:t xml:space="preserve"> </w:t>
      </w:r>
    </w:p>
    <w:p w14:paraId="2403C3B5" w14:textId="3F77BDB6" w:rsidR="005A3F8C" w:rsidRPr="00BE67C0" w:rsidRDefault="008D25AA" w:rsidP="009358D4">
      <w:pPr>
        <w:pStyle w:val="ListParagraph"/>
        <w:numPr>
          <w:ilvl w:val="2"/>
          <w:numId w:val="3"/>
        </w:numPr>
        <w:rPr>
          <w:b/>
          <w:bCs/>
        </w:rPr>
      </w:pPr>
      <w:r w:rsidRPr="00BE67C0">
        <w:rPr>
          <w:b/>
          <w:bCs/>
          <w:i/>
        </w:rPr>
        <w:t>The DAO Report</w:t>
      </w:r>
    </w:p>
    <w:p w14:paraId="6FB5C97A" w14:textId="3EB8E73F" w:rsidR="005A3F8C" w:rsidRPr="009358D4" w:rsidRDefault="005A3F8C" w:rsidP="009358D4">
      <w:pPr>
        <w:rPr>
          <w:b/>
        </w:rPr>
      </w:pPr>
    </w:p>
    <w:p w14:paraId="5B2F9B2A" w14:textId="5AAB6D4B" w:rsidR="005A3F8C" w:rsidRPr="009358D4" w:rsidRDefault="005A3F8C" w:rsidP="00567E31">
      <w:pPr>
        <w:spacing w:line="480" w:lineRule="auto"/>
        <w:ind w:firstLine="720"/>
      </w:pPr>
      <w:r w:rsidRPr="006473DB">
        <w:rPr>
          <w:i/>
        </w:rPr>
        <w:t>The DAO Report</w:t>
      </w:r>
      <w:r w:rsidRPr="009358D4">
        <w:t xml:space="preserve"> targeted the Decentralized Autonomous Organization (</w:t>
      </w:r>
      <w:r w:rsidR="005C3012">
        <w:t>t</w:t>
      </w:r>
      <w:r w:rsidRPr="009358D4">
        <w:t xml:space="preserve">he </w:t>
      </w:r>
      <w:r w:rsidR="005C3012">
        <w:t>“</w:t>
      </w:r>
      <w:r w:rsidRPr="009358D4">
        <w:t xml:space="preserve">DAO”), an organization </w:t>
      </w:r>
      <w:r w:rsidR="005C3012">
        <w:t>offering its own</w:t>
      </w:r>
      <w:r w:rsidRPr="009358D4">
        <w:t xml:space="preserve"> </w:t>
      </w:r>
      <w:r w:rsidR="00080364">
        <w:t>t</w:t>
      </w:r>
      <w:r w:rsidR="00D0238F">
        <w:t>oken</w:t>
      </w:r>
      <w:r w:rsidRPr="009358D4">
        <w:t xml:space="preserve">s for purchase using the Ethereum Blockchain </w:t>
      </w:r>
      <w:r w:rsidR="00080364">
        <w:t>t</w:t>
      </w:r>
      <w:r w:rsidR="00D0238F">
        <w:t>oken</w:t>
      </w:r>
      <w:r w:rsidRPr="009358D4">
        <w:t xml:space="preserve">, Ether. The </w:t>
      </w:r>
      <w:r w:rsidR="00080364">
        <w:t>t</w:t>
      </w:r>
      <w:r w:rsidR="00D0238F">
        <w:t>oken</w:t>
      </w:r>
      <w:r w:rsidRPr="009358D4">
        <w:t xml:space="preserve">s represented interests in </w:t>
      </w:r>
      <w:r w:rsidR="00993BAA">
        <w:t>t</w:t>
      </w:r>
      <w:r w:rsidRPr="009358D4">
        <w:t xml:space="preserve">he DAO platform, and its organizers would invest in projects that received a majority vote from DAO </w:t>
      </w:r>
      <w:r w:rsidR="00080364">
        <w:t>t</w:t>
      </w:r>
      <w:r w:rsidR="00D0238F">
        <w:t>oken</w:t>
      </w:r>
      <w:r w:rsidRPr="009358D4">
        <w:t xml:space="preserve"> holders. </w:t>
      </w:r>
      <w:r w:rsidR="00C235F8" w:rsidRPr="009358D4">
        <w:t>Created by Slock.it,</w:t>
      </w:r>
      <w:r w:rsidR="00FC3677">
        <w:rPr>
          <w:rStyle w:val="FootnoteReference"/>
        </w:rPr>
        <w:footnoteReference w:id="40"/>
      </w:r>
      <w:r w:rsidR="00C235F8" w:rsidRPr="009358D4">
        <w:t xml:space="preserve"> </w:t>
      </w:r>
      <w:r w:rsidR="00993BAA">
        <w:t>the platform</w:t>
      </w:r>
      <w:r w:rsidRPr="009358D4">
        <w:t xml:space="preserve"> was marketed as a “for-profit entity whose objective was to fund projects in exchange for a return on investment.”</w:t>
      </w:r>
      <w:r w:rsidRPr="009358D4">
        <w:rPr>
          <w:rStyle w:val="FootnoteReference"/>
        </w:rPr>
        <w:footnoteReference w:id="41"/>
      </w:r>
      <w:r w:rsidR="00C235F8" w:rsidRPr="009358D4">
        <w:t xml:space="preserve"> The DAO, despite </w:t>
      </w:r>
      <w:r w:rsidR="00692F90">
        <w:t xml:space="preserve">conducting a massively successful fundraise and accepting </w:t>
      </w:r>
      <w:r w:rsidR="00C235F8" w:rsidRPr="009358D4">
        <w:t>over $150 million</w:t>
      </w:r>
      <w:r w:rsidR="00692F90">
        <w:t xml:space="preserve"> in investment,</w:t>
      </w:r>
      <w:r w:rsidR="00C235F8" w:rsidRPr="009358D4">
        <w:t xml:space="preserve"> was not registered in any sovereign jurisdiction. </w:t>
      </w:r>
      <w:r w:rsidR="00302830">
        <w:t>T</w:t>
      </w:r>
      <w:r w:rsidR="00C235F8" w:rsidRPr="009358D4">
        <w:t xml:space="preserve">he DAO </w:t>
      </w:r>
      <w:r w:rsidR="00302830">
        <w:t xml:space="preserve">also failed to register the offering and </w:t>
      </w:r>
      <w:proofErr w:type="spellStart"/>
      <w:r w:rsidR="00302830">
        <w:t>elect</w:t>
      </w:r>
      <w:r w:rsidR="00C235F8" w:rsidRPr="009358D4">
        <w:t>a</w:t>
      </w:r>
      <w:proofErr w:type="spellEnd"/>
      <w:r w:rsidR="00C235F8" w:rsidRPr="009358D4">
        <w:t xml:space="preserve"> board of directors, a CEO, or management team. The rationale behind the crowdfunding was the creation of new software applications, but before the venture took flight, it was hi</w:t>
      </w:r>
      <w:r w:rsidR="00993BAA">
        <w:t>t</w:t>
      </w:r>
      <w:r w:rsidR="00C235F8" w:rsidRPr="009358D4">
        <w:t xml:space="preserve"> with a cyber-attack draining 1/3</w:t>
      </w:r>
      <w:r w:rsidR="00C235F8" w:rsidRPr="009358D4">
        <w:rPr>
          <w:vertAlign w:val="superscript"/>
        </w:rPr>
        <w:t>rd</w:t>
      </w:r>
      <w:r w:rsidR="00C235F8" w:rsidRPr="009358D4">
        <w:t xml:space="preserve"> of its funds. </w:t>
      </w:r>
    </w:p>
    <w:p w14:paraId="76E2FD02" w14:textId="466831E4" w:rsidR="00C235F8" w:rsidRPr="009358D4" w:rsidRDefault="005A3F8C" w:rsidP="009776C8">
      <w:pPr>
        <w:spacing w:line="480" w:lineRule="auto"/>
        <w:ind w:firstLine="720"/>
      </w:pPr>
      <w:r w:rsidRPr="009358D4">
        <w:t xml:space="preserve">The SEC investigated </w:t>
      </w:r>
      <w:r w:rsidR="009776C8">
        <w:t>t</w:t>
      </w:r>
      <w:r w:rsidRPr="009358D4">
        <w:t xml:space="preserve">he DAO in connection with the offering’s potential applicability to federal securities laws and whether the </w:t>
      </w:r>
      <w:r w:rsidR="00080364">
        <w:t>t</w:t>
      </w:r>
      <w:r w:rsidR="00D0238F">
        <w:t>oken</w:t>
      </w:r>
      <w:r w:rsidRPr="009358D4">
        <w:t>s constituted securities.</w:t>
      </w:r>
      <w:r w:rsidRPr="009358D4">
        <w:rPr>
          <w:rStyle w:val="FootnoteReference"/>
        </w:rPr>
        <w:footnoteReference w:id="42"/>
      </w:r>
      <w:r w:rsidRPr="009358D4">
        <w:t xml:space="preserve"> </w:t>
      </w:r>
      <w:r w:rsidR="00C235F8" w:rsidRPr="009358D4">
        <w:t xml:space="preserve">Applying the </w:t>
      </w:r>
      <w:r w:rsidR="00C235F8" w:rsidRPr="009776C8">
        <w:rPr>
          <w:i/>
        </w:rPr>
        <w:t>Howey</w:t>
      </w:r>
      <w:r w:rsidR="00C235F8" w:rsidRPr="009358D4">
        <w:t xml:space="preserve"> test, the SEC focused on the fact that Slock.it used “various promotional materials disseminated by Slock.it and its cofounders informed investors that </w:t>
      </w:r>
      <w:r w:rsidR="009776C8">
        <w:t>[t]</w:t>
      </w:r>
      <w:r w:rsidR="00C235F8" w:rsidRPr="009358D4">
        <w:t>he DAO was a for-profit entity whose objective was to fund 12 projects in exchange for a return on investment.”</w:t>
      </w:r>
      <w:r w:rsidR="00C235F8" w:rsidRPr="009358D4">
        <w:rPr>
          <w:rStyle w:val="FootnoteReference"/>
        </w:rPr>
        <w:footnoteReference w:id="43"/>
      </w:r>
      <w:r w:rsidR="00C235F8" w:rsidRPr="009358D4">
        <w:t xml:space="preserve"> Additionally, the DAO </w:t>
      </w:r>
      <w:r w:rsidR="00080364">
        <w:t>t</w:t>
      </w:r>
      <w:r w:rsidR="00D0238F">
        <w:t>oken</w:t>
      </w:r>
      <w:r w:rsidR="00C235F8" w:rsidRPr="009358D4">
        <w:t xml:space="preserve"> satisfied the expectation of profits prong because “the DAO’s investors relied on the managerial and entrepreneurial efforts of Slock.it and its co-founders, and </w:t>
      </w:r>
      <w:r w:rsidR="008A720F">
        <w:t>t</w:t>
      </w:r>
      <w:r w:rsidR="00C235F8" w:rsidRPr="009358D4">
        <w:t xml:space="preserve">he DAO’s Curators, to manage </w:t>
      </w:r>
      <w:r w:rsidR="008A720F">
        <w:t>t</w:t>
      </w:r>
      <w:r w:rsidR="00C235F8" w:rsidRPr="009358D4">
        <w:t xml:space="preserve">he DAO and put forth project proposals that could generate profits for </w:t>
      </w:r>
      <w:r w:rsidR="008A720F">
        <w:t>t</w:t>
      </w:r>
      <w:r w:rsidR="00C235F8" w:rsidRPr="009358D4">
        <w:t xml:space="preserve">he DAO’s </w:t>
      </w:r>
      <w:r w:rsidR="00C235F8" w:rsidRPr="009358D4">
        <w:lastRenderedPageBreak/>
        <w:t>investors.”</w:t>
      </w:r>
      <w:r w:rsidR="00C235F8" w:rsidRPr="009358D4">
        <w:rPr>
          <w:rStyle w:val="FootnoteReference"/>
        </w:rPr>
        <w:footnoteReference w:id="44"/>
      </w:r>
      <w:r w:rsidR="00C235F8" w:rsidRPr="009358D4">
        <w:t xml:space="preserve"> Lastly, while DAO </w:t>
      </w:r>
      <w:r w:rsidR="00080364">
        <w:t>t</w:t>
      </w:r>
      <w:r w:rsidR="00D0238F">
        <w:t>oken</w:t>
      </w:r>
      <w:r w:rsidR="00C235F8" w:rsidRPr="009358D4">
        <w:t xml:space="preserve"> holders had certain voting rights, this did not grant them “control over the enterprise,” and thus the fourth prong of the </w:t>
      </w:r>
      <w:r w:rsidR="00C235F8" w:rsidRPr="003E41A1">
        <w:rPr>
          <w:i/>
        </w:rPr>
        <w:t>Howey</w:t>
      </w:r>
      <w:r w:rsidR="00C235F8" w:rsidRPr="009358D4">
        <w:t xml:space="preserve"> test was also satisfied.</w:t>
      </w:r>
      <w:r w:rsidR="0043762A">
        <w:rPr>
          <w:rStyle w:val="FootnoteReference"/>
        </w:rPr>
        <w:footnoteReference w:id="45"/>
      </w:r>
    </w:p>
    <w:p w14:paraId="4C608375" w14:textId="3ECBD8C5" w:rsidR="005A3F8C" w:rsidRPr="009358D4" w:rsidRDefault="00C17ADF" w:rsidP="00567E31">
      <w:pPr>
        <w:spacing w:line="480" w:lineRule="auto"/>
        <w:ind w:firstLine="720"/>
      </w:pPr>
      <w:r w:rsidRPr="009358D4">
        <w:t xml:space="preserve">Overall, </w:t>
      </w:r>
      <w:r w:rsidR="003E41A1" w:rsidRPr="003E41A1">
        <w:rPr>
          <w:i/>
        </w:rPr>
        <w:t>T</w:t>
      </w:r>
      <w:r w:rsidR="005A3F8C" w:rsidRPr="003E41A1">
        <w:rPr>
          <w:i/>
        </w:rPr>
        <w:t>he DAO Report</w:t>
      </w:r>
      <w:r w:rsidR="005A3F8C" w:rsidRPr="009358D4">
        <w:t xml:space="preserve"> stated that U.S. federal securities laws “may</w:t>
      </w:r>
      <w:r w:rsidR="005A3F8C" w:rsidRPr="009358D4">
        <w:rPr>
          <w:b/>
          <w:i/>
        </w:rPr>
        <w:t xml:space="preserve"> </w:t>
      </w:r>
      <w:r w:rsidR="005A3F8C" w:rsidRPr="009358D4">
        <w:t xml:space="preserve">apply” to “virtual </w:t>
      </w:r>
      <w:r w:rsidR="00080364">
        <w:t>t</w:t>
      </w:r>
      <w:r w:rsidR="00D0238F">
        <w:t>oken</w:t>
      </w:r>
      <w:r w:rsidR="005A3F8C" w:rsidRPr="009358D4">
        <w:t xml:space="preserve">s” and confirmed the analysis would depend on an application of the </w:t>
      </w:r>
      <w:r w:rsidR="005A3F8C" w:rsidRPr="009358D4">
        <w:rPr>
          <w:i/>
        </w:rPr>
        <w:t xml:space="preserve">Howey </w:t>
      </w:r>
      <w:r w:rsidR="005A3F8C" w:rsidRPr="009358D4">
        <w:t xml:space="preserve">test to the specific “facts and circumstances” of each </w:t>
      </w:r>
      <w:r w:rsidR="00080364">
        <w:t>t</w:t>
      </w:r>
      <w:r w:rsidR="00D0238F">
        <w:t>oken</w:t>
      </w:r>
      <w:r w:rsidR="005A3F8C" w:rsidRPr="009358D4">
        <w:t xml:space="preserve"> sale.</w:t>
      </w:r>
      <w:r w:rsidR="005A3F8C" w:rsidRPr="009358D4">
        <w:rPr>
          <w:rStyle w:val="FootnoteReference"/>
        </w:rPr>
        <w:footnoteReference w:id="46"/>
      </w:r>
      <w:r w:rsidR="005A3F8C" w:rsidRPr="009358D4">
        <w:t xml:space="preserve"> Applying this guidance, </w:t>
      </w:r>
      <w:r w:rsidR="003E41A1" w:rsidRPr="003E41A1">
        <w:rPr>
          <w:i/>
        </w:rPr>
        <w:t>T</w:t>
      </w:r>
      <w:r w:rsidR="005A3F8C" w:rsidRPr="003E41A1">
        <w:rPr>
          <w:i/>
        </w:rPr>
        <w:t>he DAO Report</w:t>
      </w:r>
      <w:r w:rsidR="005A3F8C" w:rsidRPr="009358D4">
        <w:t xml:space="preserve"> concluded that the </w:t>
      </w:r>
      <w:r w:rsidR="003E41A1">
        <w:t xml:space="preserve">DAO </w:t>
      </w:r>
      <w:r w:rsidR="00080364">
        <w:t>t</w:t>
      </w:r>
      <w:r w:rsidR="00D0238F">
        <w:t>oken</w:t>
      </w:r>
      <w:r w:rsidR="005A3F8C" w:rsidRPr="009358D4">
        <w:t xml:space="preserve"> in question constituted a security for at least three reasons: (1) purchasers</w:t>
      </w:r>
      <w:r w:rsidR="005A3F8C" w:rsidRPr="009358D4">
        <w:rPr>
          <w:spacing w:val="-10"/>
        </w:rPr>
        <w:t xml:space="preserve"> </w:t>
      </w:r>
      <w:r w:rsidR="005A3F8C" w:rsidRPr="009358D4">
        <w:t>jointly</w:t>
      </w:r>
      <w:r w:rsidR="005A3F8C" w:rsidRPr="009358D4">
        <w:rPr>
          <w:spacing w:val="-9"/>
        </w:rPr>
        <w:t xml:space="preserve"> </w:t>
      </w:r>
      <w:r w:rsidR="005A3F8C" w:rsidRPr="009358D4">
        <w:t>contributed</w:t>
      </w:r>
      <w:r w:rsidR="005A3F8C" w:rsidRPr="009358D4">
        <w:rPr>
          <w:spacing w:val="-9"/>
        </w:rPr>
        <w:t xml:space="preserve"> </w:t>
      </w:r>
      <w:r w:rsidR="005A3F8C" w:rsidRPr="009358D4">
        <w:t>funds</w:t>
      </w:r>
      <w:r w:rsidR="005A3F8C" w:rsidRPr="009358D4">
        <w:rPr>
          <w:spacing w:val="-9"/>
        </w:rPr>
        <w:t xml:space="preserve"> </w:t>
      </w:r>
      <w:r w:rsidR="005A3F8C" w:rsidRPr="009358D4">
        <w:t>to</w:t>
      </w:r>
      <w:r w:rsidR="005A3F8C" w:rsidRPr="009358D4">
        <w:rPr>
          <w:spacing w:val="-9"/>
        </w:rPr>
        <w:t xml:space="preserve"> </w:t>
      </w:r>
      <w:r w:rsidR="005A3F8C" w:rsidRPr="009358D4">
        <w:t>invest</w:t>
      </w:r>
      <w:r w:rsidR="005A3F8C" w:rsidRPr="009358D4">
        <w:rPr>
          <w:spacing w:val="-10"/>
        </w:rPr>
        <w:t xml:space="preserve"> </w:t>
      </w:r>
      <w:r w:rsidR="005A3F8C" w:rsidRPr="009358D4">
        <w:t>in</w:t>
      </w:r>
      <w:r w:rsidR="005A3F8C" w:rsidRPr="009358D4">
        <w:rPr>
          <w:spacing w:val="-9"/>
        </w:rPr>
        <w:t xml:space="preserve"> </w:t>
      </w:r>
      <w:r w:rsidR="005A3F8C" w:rsidRPr="009358D4">
        <w:t xml:space="preserve">projects; (2) </w:t>
      </w:r>
      <w:r w:rsidR="00080364">
        <w:t>t</w:t>
      </w:r>
      <w:r w:rsidR="00D0238F">
        <w:t>oken</w:t>
      </w:r>
      <w:r w:rsidR="005A3F8C" w:rsidRPr="009358D4">
        <w:rPr>
          <w:spacing w:val="-9"/>
        </w:rPr>
        <w:t xml:space="preserve"> </w:t>
      </w:r>
      <w:r w:rsidR="005A3F8C" w:rsidRPr="009358D4">
        <w:t>holders</w:t>
      </w:r>
      <w:r w:rsidR="005A3F8C" w:rsidRPr="009358D4">
        <w:rPr>
          <w:spacing w:val="-9"/>
        </w:rPr>
        <w:t xml:space="preserve"> </w:t>
      </w:r>
      <w:r w:rsidR="005A3F8C" w:rsidRPr="009358D4">
        <w:t>obtained</w:t>
      </w:r>
      <w:r w:rsidR="005A3F8C" w:rsidRPr="009358D4">
        <w:rPr>
          <w:spacing w:val="-9"/>
        </w:rPr>
        <w:t xml:space="preserve"> </w:t>
      </w:r>
      <w:r w:rsidR="005A3F8C" w:rsidRPr="009358D4">
        <w:t>the</w:t>
      </w:r>
      <w:r w:rsidR="005A3F8C" w:rsidRPr="009358D4">
        <w:rPr>
          <w:spacing w:val="-9"/>
        </w:rPr>
        <w:t xml:space="preserve"> </w:t>
      </w:r>
      <w:r w:rsidR="005A3F8C" w:rsidRPr="009358D4">
        <w:t>right to vote on where to invest; and (3) holders received pro rata dividend payments from each project’s profits.</w:t>
      </w:r>
      <w:r w:rsidR="005A3F8C" w:rsidRPr="009358D4">
        <w:rPr>
          <w:rStyle w:val="FootnoteReference"/>
        </w:rPr>
        <w:footnoteReference w:id="47"/>
      </w:r>
    </w:p>
    <w:p w14:paraId="2D9FFA3E" w14:textId="1814283E" w:rsidR="005A3F8C" w:rsidRPr="009358D4" w:rsidRDefault="005A3F8C" w:rsidP="00567E31">
      <w:pPr>
        <w:spacing w:line="480" w:lineRule="auto"/>
        <w:ind w:firstLine="720"/>
      </w:pPr>
      <w:r w:rsidRPr="009358D4">
        <w:t xml:space="preserve">However, </w:t>
      </w:r>
      <w:r w:rsidR="003E41A1">
        <w:t xml:space="preserve">while seminal in nature, </w:t>
      </w:r>
      <w:r w:rsidR="003E41A1" w:rsidRPr="003E41A1">
        <w:rPr>
          <w:i/>
        </w:rPr>
        <w:t>T</w:t>
      </w:r>
      <w:r w:rsidRPr="003E41A1">
        <w:rPr>
          <w:i/>
        </w:rPr>
        <w:t>he DAO Report</w:t>
      </w:r>
      <w:r w:rsidRPr="009358D4">
        <w:t xml:space="preserve"> cannot be read to suggest all virtual currencies are subject to federal securities laws, and the SEC has stated on several occasions that certain </w:t>
      </w:r>
      <w:r w:rsidR="00080364">
        <w:t>t</w:t>
      </w:r>
      <w:r w:rsidR="00D0238F">
        <w:t>oken</w:t>
      </w:r>
      <w:r w:rsidRPr="009358D4">
        <w:t xml:space="preserve">s, </w:t>
      </w:r>
      <w:r w:rsidRPr="00A51B45">
        <w:rPr>
          <w:i/>
        </w:rPr>
        <w:t>e.g.</w:t>
      </w:r>
      <w:r w:rsidRPr="009358D4">
        <w:t>, Ether and Bitcoin, are not securities.</w:t>
      </w:r>
      <w:r w:rsidRPr="009358D4">
        <w:rPr>
          <w:rStyle w:val="FootnoteReference"/>
        </w:rPr>
        <w:footnoteReference w:id="48"/>
      </w:r>
      <w:r w:rsidRPr="009358D4">
        <w:t xml:space="preserve"> If anything, </w:t>
      </w:r>
      <w:r w:rsidR="00A51B45" w:rsidRPr="00A51B45">
        <w:rPr>
          <w:i/>
        </w:rPr>
        <w:t>T</w:t>
      </w:r>
      <w:r w:rsidRPr="00A51B45">
        <w:rPr>
          <w:i/>
        </w:rPr>
        <w:t>he DAO Report</w:t>
      </w:r>
      <w:r w:rsidRPr="009358D4">
        <w:t xml:space="preserve"> solidified the notion the SEC ha</w:t>
      </w:r>
      <w:r w:rsidR="006C58CF">
        <w:t>s</w:t>
      </w:r>
      <w:r w:rsidRPr="009358D4">
        <w:t xml:space="preserve"> authority to regulate cryptocurrencies as well as that each </w:t>
      </w:r>
      <w:r w:rsidR="00080364">
        <w:t>t</w:t>
      </w:r>
      <w:r w:rsidR="00D0238F">
        <w:t>oken</w:t>
      </w:r>
      <w:r w:rsidRPr="009358D4">
        <w:t xml:space="preserve"> evaluation is </w:t>
      </w:r>
      <w:r w:rsidR="00A51B45">
        <w:t xml:space="preserve">on </w:t>
      </w:r>
      <w:r w:rsidRPr="009358D4">
        <w:t xml:space="preserve">a case-by-case basis. In other words, no set </w:t>
      </w:r>
      <w:r w:rsidR="00080364">
        <w:t>t</w:t>
      </w:r>
      <w:r w:rsidR="00D0238F">
        <w:t>oken</w:t>
      </w:r>
      <w:r w:rsidRPr="009358D4">
        <w:t xml:space="preserve"> standard exists for whether one type of </w:t>
      </w:r>
      <w:r w:rsidR="00080364">
        <w:t>t</w:t>
      </w:r>
      <w:r w:rsidR="00D0238F">
        <w:t>oken</w:t>
      </w:r>
      <w:r w:rsidRPr="009358D4">
        <w:t xml:space="preserve"> is or is not a </w:t>
      </w:r>
      <w:r w:rsidR="008C429B" w:rsidRPr="009358D4">
        <w:t>security</w:t>
      </w:r>
      <w:r w:rsidR="006C58CF">
        <w:t>,</w:t>
      </w:r>
      <w:r w:rsidR="008C429B" w:rsidRPr="009358D4">
        <w:t xml:space="preserve"> but</w:t>
      </w:r>
      <w:r w:rsidRPr="009358D4">
        <w:t xml:space="preserve"> applying this precedent to </w:t>
      </w:r>
      <w:r w:rsidR="00080364">
        <w:t>t</w:t>
      </w:r>
      <w:r w:rsidR="00D0238F">
        <w:t>oken</w:t>
      </w:r>
      <w:r w:rsidRPr="009358D4">
        <w:t xml:space="preserve"> frameworks provides insight into compliance requirements, if any. </w:t>
      </w:r>
    </w:p>
    <w:p w14:paraId="6D4FF516" w14:textId="3F397692" w:rsidR="005A3F8C" w:rsidRPr="009358D4" w:rsidRDefault="005A3F8C" w:rsidP="00567E31">
      <w:pPr>
        <w:spacing w:line="480" w:lineRule="auto"/>
        <w:ind w:firstLine="720"/>
      </w:pPr>
      <w:r w:rsidRPr="009358D4">
        <w:t xml:space="preserve">Since </w:t>
      </w:r>
      <w:r w:rsidR="00C472D7" w:rsidRPr="00C472D7">
        <w:rPr>
          <w:i/>
        </w:rPr>
        <w:t>T</w:t>
      </w:r>
      <w:r w:rsidRPr="00C472D7">
        <w:rPr>
          <w:i/>
        </w:rPr>
        <w:t>he DAO Report</w:t>
      </w:r>
      <w:r w:rsidRPr="009358D4">
        <w:t xml:space="preserve">, the SEC has brought a number of enforcement actions targeting </w:t>
      </w:r>
      <w:r w:rsidR="00080364">
        <w:t>t</w:t>
      </w:r>
      <w:r w:rsidR="00D0238F">
        <w:t>oken</w:t>
      </w:r>
      <w:r w:rsidR="00CB18F9" w:rsidRPr="009358D4">
        <w:t>-based</w:t>
      </w:r>
      <w:r w:rsidR="00C472D7">
        <w:t xml:space="preserve"> projects</w:t>
      </w:r>
      <w:r w:rsidRPr="009358D4">
        <w:t>.</w:t>
      </w:r>
      <w:r w:rsidR="006B1B65">
        <w:rPr>
          <w:rStyle w:val="FootnoteReference"/>
        </w:rPr>
        <w:footnoteReference w:id="49"/>
      </w:r>
      <w:r w:rsidRPr="009358D4">
        <w:t xml:space="preserve"> Several </w:t>
      </w:r>
      <w:r w:rsidR="0019429F">
        <w:t>enforcement actions are</w:t>
      </w:r>
      <w:r w:rsidRPr="009358D4">
        <w:t xml:space="preserve"> brought by the </w:t>
      </w:r>
      <w:r w:rsidR="00C472D7">
        <w:t xml:space="preserve">SEC </w:t>
      </w:r>
      <w:r w:rsidRPr="009358D4">
        <w:t>Cyber Unit, an entity formed to “focus the Enforcement Division’s substantial cyber-related expertise on targeting cyber-related misconduct,” including “[v]iolations involving distributed ledger technology and initial coin offerings.”</w:t>
      </w:r>
      <w:r w:rsidR="0019429F">
        <w:rPr>
          <w:rStyle w:val="FootnoteReference"/>
        </w:rPr>
        <w:footnoteReference w:id="50"/>
      </w:r>
      <w:r w:rsidRPr="009358D4">
        <w:t xml:space="preserve"> As the SEC noted in a court filing, </w:t>
      </w:r>
      <w:r w:rsidR="00C472D7">
        <w:t>certain</w:t>
      </w:r>
      <w:r w:rsidRPr="009358D4">
        <w:t xml:space="preserve"> offerings are effectively “old-fashioned fraud dressed in a new-fashioned label.”</w:t>
      </w:r>
      <w:r w:rsidRPr="009358D4">
        <w:rPr>
          <w:rStyle w:val="FootnoteReference"/>
        </w:rPr>
        <w:footnoteReference w:id="51"/>
      </w:r>
      <w:r w:rsidRPr="009358D4">
        <w:t xml:space="preserve"> </w:t>
      </w:r>
    </w:p>
    <w:p w14:paraId="0557B1C0" w14:textId="06A40DE6" w:rsidR="00A11291" w:rsidRPr="009358D4" w:rsidRDefault="005A3F8C" w:rsidP="00A11291">
      <w:pPr>
        <w:spacing w:line="480" w:lineRule="auto"/>
        <w:ind w:firstLine="720"/>
      </w:pPr>
      <w:r w:rsidRPr="009358D4">
        <w:lastRenderedPageBreak/>
        <w:t xml:space="preserve">Overall, these cases show the SEC’s intention to combat fraud </w:t>
      </w:r>
      <w:r w:rsidR="006C58CF">
        <w:t xml:space="preserve">and bad actors </w:t>
      </w:r>
      <w:r w:rsidRPr="009358D4">
        <w:t>as applied to cryptocurrencies</w:t>
      </w:r>
      <w:r w:rsidR="003F3857">
        <w:t xml:space="preserve"> and </w:t>
      </w:r>
      <w:r w:rsidR="00080364">
        <w:t>t</w:t>
      </w:r>
      <w:r w:rsidR="00D0238F">
        <w:t>oken</w:t>
      </w:r>
      <w:r w:rsidR="003F3857">
        <w:t xml:space="preserve"> offerings</w:t>
      </w:r>
      <w:r w:rsidRPr="009358D4">
        <w:t xml:space="preserve">. In fact, the agency issued several alerts to warn potential investors about the risks involved in participating in </w:t>
      </w:r>
      <w:r w:rsidR="00080364">
        <w:t>t</w:t>
      </w:r>
      <w:r w:rsidR="00D0238F">
        <w:t>oken</w:t>
      </w:r>
      <w:r w:rsidRPr="009358D4">
        <w:t xml:space="preserve"> offerings</w:t>
      </w:r>
      <w:r w:rsidR="003F3857">
        <w:t xml:space="preserve"> (also referred to as Initial Coin Offerings (“ICOs”))</w:t>
      </w:r>
      <w:r w:rsidRPr="009358D4">
        <w:t>.</w:t>
      </w:r>
      <w:r w:rsidRPr="009358D4">
        <w:rPr>
          <w:rStyle w:val="FootnoteReference"/>
        </w:rPr>
        <w:footnoteReference w:id="52"/>
      </w:r>
      <w:r w:rsidRPr="009358D4">
        <w:t xml:space="preserve">  </w:t>
      </w:r>
      <w:r w:rsidR="006C58CF">
        <w:t xml:space="preserve">Therefore, a specific analysis of the facts of the </w:t>
      </w:r>
      <w:r w:rsidR="00080364">
        <w:t>t</w:t>
      </w:r>
      <w:r w:rsidR="00D0238F">
        <w:t>oken</w:t>
      </w:r>
      <w:r w:rsidR="006C58CF">
        <w:t xml:space="preserve"> is necessary as well as how and when information was presented to those who receive </w:t>
      </w:r>
      <w:r w:rsidR="00080364">
        <w:t>t</w:t>
      </w:r>
      <w:r w:rsidR="00D0238F">
        <w:t>oken</w:t>
      </w:r>
      <w:r w:rsidR="006C58CF">
        <w:t xml:space="preserve">s. </w:t>
      </w:r>
    </w:p>
    <w:p w14:paraId="7D3F580F" w14:textId="0E141AC3" w:rsidR="00686A79" w:rsidRPr="00BE67C0" w:rsidRDefault="008D25AA" w:rsidP="009358D4">
      <w:pPr>
        <w:pStyle w:val="ListParagraph"/>
        <w:numPr>
          <w:ilvl w:val="2"/>
          <w:numId w:val="3"/>
        </w:numPr>
        <w:rPr>
          <w:b/>
          <w:bCs/>
        </w:rPr>
      </w:pPr>
      <w:proofErr w:type="spellStart"/>
      <w:r w:rsidRPr="00BE67C0">
        <w:rPr>
          <w:b/>
          <w:bCs/>
          <w:i/>
        </w:rPr>
        <w:t>Munchee</w:t>
      </w:r>
      <w:proofErr w:type="spellEnd"/>
      <w:r w:rsidRPr="00BE67C0">
        <w:rPr>
          <w:b/>
          <w:bCs/>
          <w:i/>
        </w:rPr>
        <w:t xml:space="preserve"> and Beyond</w:t>
      </w:r>
    </w:p>
    <w:p w14:paraId="34535CD1" w14:textId="765B5B44" w:rsidR="00BE67C0" w:rsidRDefault="00BE67C0" w:rsidP="00BE67C0">
      <w:pPr>
        <w:rPr>
          <w:b/>
          <w:bCs/>
        </w:rPr>
      </w:pPr>
    </w:p>
    <w:p w14:paraId="28607C22" w14:textId="7D8CCCC7" w:rsidR="00BE67C0" w:rsidRPr="009358D4" w:rsidRDefault="00BE67C0" w:rsidP="00BE67C0">
      <w:pPr>
        <w:spacing w:line="480" w:lineRule="auto"/>
        <w:ind w:firstLine="720"/>
      </w:pPr>
      <w:r w:rsidRPr="009358D4">
        <w:t xml:space="preserve">Only a handful of cases exist where the SEC categorized a </w:t>
      </w:r>
      <w:r>
        <w:t>token</w:t>
      </w:r>
      <w:r w:rsidRPr="009358D4">
        <w:t xml:space="preserve"> as a security</w:t>
      </w:r>
      <w:r>
        <w:t>. Even more scant are</w:t>
      </w:r>
      <w:r w:rsidRPr="009358D4">
        <w:t xml:space="preserve"> </w:t>
      </w:r>
      <w:r>
        <w:t xml:space="preserve">cases where there was an </w:t>
      </w:r>
      <w:r w:rsidRPr="009358D4">
        <w:t>absence of fraud</w:t>
      </w:r>
      <w:r>
        <w:t xml:space="preserve"> and no purchasing of the actual token occurred.</w:t>
      </w:r>
      <w:r w:rsidRPr="009358D4">
        <w:rPr>
          <w:rStyle w:val="FootnoteReference"/>
        </w:rPr>
        <w:footnoteReference w:id="53"/>
      </w:r>
      <w:r w:rsidRPr="009358D4">
        <w:t xml:space="preserve"> The first of </w:t>
      </w:r>
      <w:r w:rsidR="00302830">
        <w:t>these cases</w:t>
      </w:r>
      <w:r w:rsidR="00302830" w:rsidRPr="009358D4">
        <w:t xml:space="preserve"> </w:t>
      </w:r>
      <w:r w:rsidRPr="009358D4">
        <w:t xml:space="preserve">came shortly after </w:t>
      </w:r>
      <w:r w:rsidRPr="00F502AC">
        <w:rPr>
          <w:i/>
        </w:rPr>
        <w:t>The DAO Report</w:t>
      </w:r>
      <w:r w:rsidRPr="009358D4">
        <w:t xml:space="preserve">, against </w:t>
      </w:r>
      <w:proofErr w:type="spellStart"/>
      <w:r w:rsidRPr="009358D4">
        <w:t>Munchee</w:t>
      </w:r>
      <w:proofErr w:type="spellEnd"/>
      <w:r w:rsidRPr="009358D4">
        <w:t>, Inc., and provided needed clarity because sales of “useful items” are generally not regulated as securities offerings.</w:t>
      </w:r>
      <w:r w:rsidRPr="009358D4">
        <w:rPr>
          <w:rStyle w:val="FootnoteReference"/>
        </w:rPr>
        <w:footnoteReference w:id="54"/>
      </w:r>
      <w:r w:rsidRPr="009358D4">
        <w:t xml:space="preserve"> </w:t>
      </w:r>
    </w:p>
    <w:p w14:paraId="1886F487" w14:textId="1D98FC22" w:rsidR="00BE67C0" w:rsidRDefault="00BE67C0" w:rsidP="00BE67C0">
      <w:pPr>
        <w:spacing w:line="480" w:lineRule="auto"/>
        <w:ind w:firstLine="720"/>
      </w:pPr>
      <w:r w:rsidRPr="009358D4">
        <w:t xml:space="preserve">On December 11, 2017, the SEC targeted an ICO launched by </w:t>
      </w:r>
      <w:proofErr w:type="spellStart"/>
      <w:r w:rsidRPr="009358D4">
        <w:t>Munchee</w:t>
      </w:r>
      <w:proofErr w:type="spellEnd"/>
      <w:r w:rsidRPr="009358D4">
        <w:t xml:space="preserve"> Inc., which raised $15 million to develop an App that used blockchain technology to allow users to write restaurant reviews.</w:t>
      </w:r>
      <w:r w:rsidRPr="009358D4">
        <w:rPr>
          <w:rStyle w:val="FootnoteReference"/>
        </w:rPr>
        <w:footnoteReference w:id="55"/>
      </w:r>
      <w:r w:rsidRPr="009358D4">
        <w:t xml:space="preserve"> The </w:t>
      </w:r>
      <w:proofErr w:type="spellStart"/>
      <w:r w:rsidRPr="009358D4">
        <w:t>Munchee</w:t>
      </w:r>
      <w:proofErr w:type="spellEnd"/>
      <w:r w:rsidRPr="009358D4">
        <w:t xml:space="preserve"> team stated it would pay food reviewers and allow restaurant owners to purchase advertising in the </w:t>
      </w:r>
      <w:proofErr w:type="spellStart"/>
      <w:r w:rsidRPr="009358D4">
        <w:t>Munchee</w:t>
      </w:r>
      <w:proofErr w:type="spellEnd"/>
      <w:r w:rsidRPr="009358D4">
        <w:t xml:space="preserve"> </w:t>
      </w:r>
      <w:r>
        <w:t>Token</w:t>
      </w:r>
      <w:r w:rsidRPr="009358D4">
        <w:t xml:space="preserve"> (“MUN”).</w:t>
      </w:r>
      <w:r w:rsidRPr="009358D4">
        <w:rPr>
          <w:rStyle w:val="FootnoteReference"/>
        </w:rPr>
        <w:footnoteReference w:id="56"/>
      </w:r>
      <w:r>
        <w:t xml:space="preserve"> </w:t>
      </w:r>
      <w:r w:rsidRPr="009358D4">
        <w:t xml:space="preserve">According to the white paper, once the app was built, MUN </w:t>
      </w:r>
      <w:r>
        <w:t>token</w:t>
      </w:r>
      <w:r w:rsidRPr="009358D4">
        <w:t>s would be used to make purchases in the app or at participating restaurants.</w:t>
      </w:r>
      <w:r w:rsidRPr="009358D4">
        <w:rPr>
          <w:rStyle w:val="FootnoteReference"/>
        </w:rPr>
        <w:footnoteReference w:id="57"/>
      </w:r>
      <w:r w:rsidRPr="009358D4">
        <w:t xml:space="preserve"> At the time of the offering, because the platform did not exist yet, the MUN </w:t>
      </w:r>
      <w:r>
        <w:t>token</w:t>
      </w:r>
      <w:r w:rsidRPr="009358D4">
        <w:t xml:space="preserve">s served no commercial purpose. </w:t>
      </w:r>
    </w:p>
    <w:p w14:paraId="0C5FA029" w14:textId="77777777" w:rsidR="00BE67C0" w:rsidRPr="009358D4" w:rsidRDefault="00BE67C0" w:rsidP="00BE67C0">
      <w:pPr>
        <w:spacing w:line="480" w:lineRule="auto"/>
        <w:ind w:firstLine="720"/>
      </w:pPr>
      <w:r w:rsidRPr="009358D4">
        <w:t>The SEC issued an order concluding that the ICO “constituted unregistered securities offers and sales.”</w:t>
      </w:r>
      <w:r w:rsidRPr="009358D4">
        <w:rPr>
          <w:rStyle w:val="FootnoteReference"/>
        </w:rPr>
        <w:footnoteReference w:id="58"/>
      </w:r>
      <w:r w:rsidRPr="009358D4">
        <w:t xml:space="preserve"> In support of this conclusion, the SEC applied the Howey analysis and noted, among other things, that the marketing materials for the ICO (</w:t>
      </w:r>
      <w:proofErr w:type="spellStart"/>
      <w:r w:rsidRPr="009358D4">
        <w:t>i</w:t>
      </w:r>
      <w:proofErr w:type="spellEnd"/>
      <w:r w:rsidRPr="009358D4">
        <w:t xml:space="preserve">) described how the new app would “create demand for MUN </w:t>
      </w:r>
      <w:r>
        <w:t>token</w:t>
      </w:r>
      <w:r w:rsidRPr="009358D4">
        <w:t xml:space="preserve">s;” (ii) “likened MUN to prior ICOs and digital assets that had created profits for investors;” (iii) were “specifically </w:t>
      </w:r>
      <w:r w:rsidRPr="009358D4">
        <w:lastRenderedPageBreak/>
        <w:t xml:space="preserve">marketed to people interested in those assets – and those profits – rather than to people who, for example, might have wanted MUN </w:t>
      </w:r>
      <w:r>
        <w:t>token</w:t>
      </w:r>
      <w:r w:rsidRPr="009358D4">
        <w:t xml:space="preserve">s to buy advertising or increase their ‘tier’ as a reviewer on the </w:t>
      </w:r>
      <w:proofErr w:type="spellStart"/>
      <w:r w:rsidRPr="009358D4">
        <w:t>Munchee</w:t>
      </w:r>
      <w:proofErr w:type="spellEnd"/>
      <w:r w:rsidRPr="009358D4">
        <w:t xml:space="preserve"> App;” and (iv) noted the potential creation of a secondary market for MUN </w:t>
      </w:r>
      <w:r>
        <w:t>token</w:t>
      </w:r>
      <w:r w:rsidRPr="009358D4">
        <w:t>s.</w:t>
      </w:r>
      <w:r w:rsidRPr="009358D4">
        <w:rPr>
          <w:rStyle w:val="FootnoteReference"/>
        </w:rPr>
        <w:footnoteReference w:id="59"/>
      </w:r>
      <w:r w:rsidRPr="009358D4">
        <w:t xml:space="preserve"> The SEC explained that “[b]</w:t>
      </w:r>
      <w:proofErr w:type="spellStart"/>
      <w:r w:rsidRPr="009358D4">
        <w:t>ecause</w:t>
      </w:r>
      <w:proofErr w:type="spellEnd"/>
      <w:r w:rsidRPr="009358D4">
        <w:t xml:space="preserve"> of these and other company activities, investors would have had a reasonable belief that their investment in </w:t>
      </w:r>
      <w:r>
        <w:t>token</w:t>
      </w:r>
      <w:r w:rsidRPr="009358D4">
        <w:t>s could generate a return on their investment.”</w:t>
      </w:r>
      <w:r w:rsidRPr="009358D4">
        <w:rPr>
          <w:rStyle w:val="FootnoteReference"/>
        </w:rPr>
        <w:footnoteReference w:id="60"/>
      </w:r>
    </w:p>
    <w:p w14:paraId="4B8FF273" w14:textId="77777777" w:rsidR="00BE67C0" w:rsidRPr="009358D4" w:rsidRDefault="00BE67C0" w:rsidP="00BE67C0">
      <w:pPr>
        <w:spacing w:line="480" w:lineRule="auto"/>
        <w:ind w:firstLine="720"/>
      </w:pPr>
      <w:r w:rsidRPr="009358D4">
        <w:t xml:space="preserve">Furthermore, </w:t>
      </w:r>
      <w:r>
        <w:t>the SEC highlighted that</w:t>
      </w:r>
      <w:r w:rsidRPr="009358D4">
        <w:t xml:space="preserve"> </w:t>
      </w:r>
      <w:r>
        <w:t>token</w:t>
      </w:r>
      <w:r w:rsidRPr="009358D4">
        <w:t xml:space="preserve">s were sold to the general public and investors reasonably expected a profit from the rise in value of the </w:t>
      </w:r>
      <w:r>
        <w:t>token</w:t>
      </w:r>
      <w:r w:rsidRPr="009358D4">
        <w:t xml:space="preserve"> derived from the efforts of </w:t>
      </w:r>
      <w:proofErr w:type="spellStart"/>
      <w:r w:rsidRPr="009358D4">
        <w:t>Munchee</w:t>
      </w:r>
      <w:proofErr w:type="spellEnd"/>
      <w:r>
        <w:t>, Inc.,</w:t>
      </w:r>
      <w:r w:rsidRPr="009358D4">
        <w:t xml:space="preserve"> and its agents</w:t>
      </w:r>
      <w:r>
        <w:t xml:space="preserve">. The </w:t>
      </w:r>
      <w:r w:rsidRPr="009358D4">
        <w:t xml:space="preserve">SEC targeted the fact </w:t>
      </w:r>
      <w:r>
        <w:t xml:space="preserve">the </w:t>
      </w:r>
      <w:proofErr w:type="spellStart"/>
      <w:r>
        <w:t>Munchee</w:t>
      </w:r>
      <w:proofErr w:type="spellEnd"/>
      <w:r>
        <w:t xml:space="preserve"> team</w:t>
      </w:r>
      <w:r w:rsidRPr="009358D4">
        <w:t xml:space="preserve"> promised a rise in value </w:t>
      </w:r>
      <w:r>
        <w:t xml:space="preserve">to investors </w:t>
      </w:r>
      <w:r w:rsidRPr="009358D4">
        <w:t xml:space="preserve">due to the </w:t>
      </w:r>
      <w:r>
        <w:t>token</w:t>
      </w:r>
      <w:r w:rsidRPr="009358D4">
        <w:t xml:space="preserve"> </w:t>
      </w:r>
      <w:r>
        <w:t>being</w:t>
      </w:r>
      <w:r w:rsidRPr="009358D4">
        <w:t xml:space="preserve"> listed on an exchange.</w:t>
      </w:r>
      <w:r w:rsidRPr="009358D4">
        <w:rPr>
          <w:rStyle w:val="FootnoteReference"/>
        </w:rPr>
        <w:footnoteReference w:id="61"/>
      </w:r>
      <w:r w:rsidRPr="009358D4">
        <w:t xml:space="preserve"> Indeed, the SEC stated, “</w:t>
      </w:r>
      <w:proofErr w:type="spellStart"/>
      <w:r w:rsidRPr="009358D4">
        <w:t>Munchee</w:t>
      </w:r>
      <w:proofErr w:type="spellEnd"/>
      <w:r w:rsidRPr="009358D4">
        <w:t xml:space="preserve"> described the way in which MUN </w:t>
      </w:r>
      <w:r>
        <w:t>token</w:t>
      </w:r>
      <w:r w:rsidRPr="009358D4">
        <w:t xml:space="preserve">s would increase in value </w:t>
      </w:r>
      <w:r>
        <w:t>based on</w:t>
      </w:r>
      <w:r w:rsidRPr="009358D4">
        <w:t xml:space="preserve"> </w:t>
      </w:r>
      <w:proofErr w:type="spellStart"/>
      <w:r w:rsidRPr="009358D4">
        <w:t>Munchee’s</w:t>
      </w:r>
      <w:proofErr w:type="spellEnd"/>
      <w:r w:rsidRPr="009358D4">
        <w:t xml:space="preserve"> efforts and stated that MUN </w:t>
      </w:r>
      <w:r>
        <w:t>token</w:t>
      </w:r>
      <w:r w:rsidRPr="009358D4">
        <w:t>s would be traded on secondary [crypto] markets.”</w:t>
      </w:r>
      <w:r w:rsidRPr="009358D4">
        <w:rPr>
          <w:rStyle w:val="FootnoteReference"/>
        </w:rPr>
        <w:footnoteReference w:id="62"/>
      </w:r>
      <w:r w:rsidRPr="009358D4">
        <w:t xml:space="preserve"> </w:t>
      </w:r>
    </w:p>
    <w:p w14:paraId="6C551066" w14:textId="77777777" w:rsidR="00BE67C0" w:rsidRPr="009358D4" w:rsidRDefault="00BE67C0" w:rsidP="00BE67C0">
      <w:pPr>
        <w:spacing w:line="480" w:lineRule="auto"/>
        <w:ind w:firstLine="720"/>
      </w:pPr>
      <w:r>
        <w:t>Specifically</w:t>
      </w:r>
      <w:r w:rsidRPr="009358D4">
        <w:t xml:space="preserve">, </w:t>
      </w:r>
      <w:r>
        <w:t xml:space="preserve">the </w:t>
      </w:r>
      <w:proofErr w:type="spellStart"/>
      <w:r w:rsidRPr="009358D4">
        <w:t>Munchee</w:t>
      </w:r>
      <w:proofErr w:type="spellEnd"/>
      <w:r w:rsidRPr="009358D4">
        <w:t xml:space="preserve"> </w:t>
      </w:r>
      <w:r>
        <w:t xml:space="preserve">team </w:t>
      </w:r>
      <w:r w:rsidRPr="009358D4">
        <w:t xml:space="preserve">published a blog post on October 30, 2017 that was titled “7 Reasons You Need To Join The </w:t>
      </w:r>
      <w:proofErr w:type="spellStart"/>
      <w:r w:rsidRPr="009358D4">
        <w:t>Munchee</w:t>
      </w:r>
      <w:proofErr w:type="spellEnd"/>
      <w:r>
        <w:t xml:space="preserve"> Token</w:t>
      </w:r>
      <w:r w:rsidRPr="009358D4">
        <w:t xml:space="preserve"> Generation Event.”</w:t>
      </w:r>
      <w:r w:rsidRPr="009358D4">
        <w:rPr>
          <w:rStyle w:val="FootnoteReference"/>
        </w:rPr>
        <w:footnoteReference w:id="63"/>
      </w:r>
      <w:r w:rsidRPr="009358D4">
        <w:t xml:space="preserve"> Reason 4 listed on the post was “As more users get on the platform, the more valuable your MUN </w:t>
      </w:r>
      <w:r>
        <w:t>Token</w:t>
      </w:r>
      <w:r w:rsidRPr="009358D4">
        <w:t xml:space="preserve">s will become” and then went on to describe how MUN purchasers could “watch[] their value increase over time” and could count on the “burning” of MUN </w:t>
      </w:r>
      <w:r>
        <w:t>Token</w:t>
      </w:r>
      <w:r w:rsidRPr="009358D4">
        <w:t xml:space="preserve">s to raise the value of remaining MUN </w:t>
      </w:r>
      <w:r>
        <w:t>Token</w:t>
      </w:r>
      <w:r w:rsidRPr="009358D4">
        <w:t>s.</w:t>
      </w:r>
      <w:r w:rsidRPr="009358D4">
        <w:rPr>
          <w:rStyle w:val="FootnoteReference"/>
        </w:rPr>
        <w:footnoteReference w:id="64"/>
      </w:r>
      <w:r w:rsidRPr="009358D4">
        <w:t xml:space="preserve"> The SEC focused on two key factors in the order: (</w:t>
      </w:r>
      <w:proofErr w:type="spellStart"/>
      <w:r w:rsidRPr="009358D4">
        <w:t>i</w:t>
      </w:r>
      <w:proofErr w:type="spellEnd"/>
      <w:r w:rsidRPr="009358D4">
        <w:t xml:space="preserve">) the strong emphasis by </w:t>
      </w:r>
      <w:proofErr w:type="spellStart"/>
      <w:r w:rsidRPr="009358D4">
        <w:t>Munchee</w:t>
      </w:r>
      <w:proofErr w:type="spellEnd"/>
      <w:r w:rsidRPr="009358D4">
        <w:t xml:space="preserve"> and its agents on the potential profits of an investment in the MUN </w:t>
      </w:r>
      <w:r>
        <w:t>Token</w:t>
      </w:r>
      <w:r w:rsidRPr="009358D4">
        <w:t xml:space="preserve">s, both in the white paper and other social media outlets and in the </w:t>
      </w:r>
      <w:r>
        <w:t>Token</w:t>
      </w:r>
      <w:r w:rsidRPr="009358D4">
        <w:t xml:space="preserve"> design itself, and (ii) the inability to use the MUN </w:t>
      </w:r>
      <w:r>
        <w:t>Token</w:t>
      </w:r>
      <w:r w:rsidRPr="009358D4">
        <w:t>s for any purpose for a substantial period of time.</w:t>
      </w:r>
    </w:p>
    <w:p w14:paraId="1663051B" w14:textId="77777777" w:rsidR="00BE67C0" w:rsidRPr="009358D4" w:rsidRDefault="00BE67C0" w:rsidP="00BE67C0">
      <w:pPr>
        <w:spacing w:line="480" w:lineRule="auto"/>
        <w:ind w:firstLine="720"/>
      </w:pPr>
      <w:r w:rsidRPr="009358D4">
        <w:t xml:space="preserve">Overall, the SEC’s approach towards </w:t>
      </w:r>
      <w:proofErr w:type="spellStart"/>
      <w:r w:rsidRPr="009358D4">
        <w:rPr>
          <w:i/>
        </w:rPr>
        <w:t>Munchee</w:t>
      </w:r>
      <w:proofErr w:type="spellEnd"/>
      <w:r w:rsidRPr="009358D4">
        <w:t xml:space="preserve"> clarified that a </w:t>
      </w:r>
      <w:r>
        <w:t>token</w:t>
      </w:r>
      <w:r w:rsidRPr="009358D4">
        <w:t xml:space="preserve"> presented as a </w:t>
      </w:r>
      <w:r>
        <w:t>“</w:t>
      </w:r>
      <w:r w:rsidRPr="009358D4">
        <w:t xml:space="preserve">utility </w:t>
      </w:r>
      <w:r>
        <w:t>token”</w:t>
      </w:r>
      <w:r w:rsidRPr="009358D4">
        <w:t xml:space="preserve"> does not exempt it from the definition of a security, although it did not resolve the substantive issue of whether and how a utility </w:t>
      </w:r>
      <w:r>
        <w:t>Token</w:t>
      </w:r>
      <w:r w:rsidRPr="009358D4">
        <w:t xml:space="preserve"> may fall outside the securities definition. Indeed, it was not clear from the Order whether </w:t>
      </w:r>
      <w:r w:rsidRPr="009358D4">
        <w:lastRenderedPageBreak/>
        <w:t>the SEC would have reached the same conclusion – that the MUN</w:t>
      </w:r>
      <w:r>
        <w:t xml:space="preserve"> Token</w:t>
      </w:r>
      <w:r w:rsidRPr="009358D4">
        <w:t xml:space="preserve">s qualified as investment contracts – if the </w:t>
      </w:r>
      <w:proofErr w:type="spellStart"/>
      <w:r w:rsidRPr="009358D4">
        <w:t>Munchee</w:t>
      </w:r>
      <w:proofErr w:type="spellEnd"/>
      <w:r w:rsidRPr="009358D4">
        <w:t xml:space="preserve"> App were fully operational and the </w:t>
      </w:r>
      <w:r>
        <w:t>Token</w:t>
      </w:r>
      <w:r w:rsidRPr="009358D4">
        <w:t xml:space="preserve">s could immediately be used to buy and sell goods or services. </w:t>
      </w:r>
      <w:r>
        <w:t>With that said, the</w:t>
      </w:r>
      <w:r w:rsidRPr="009358D4">
        <w:t xml:space="preserve"> Order cautioned that “[e]</w:t>
      </w:r>
      <w:proofErr w:type="spellStart"/>
      <w:r w:rsidRPr="009358D4">
        <w:t>ven</w:t>
      </w:r>
      <w:proofErr w:type="spellEnd"/>
      <w:r w:rsidRPr="009358D4">
        <w:t xml:space="preserve"> if MUN </w:t>
      </w:r>
      <w:r>
        <w:t>Token</w:t>
      </w:r>
      <w:r w:rsidRPr="009358D4">
        <w:t xml:space="preserve">s had a practical use at the time of the offering, it would not preclude the </w:t>
      </w:r>
      <w:r>
        <w:t>Token</w:t>
      </w:r>
      <w:r w:rsidRPr="009358D4">
        <w:t xml:space="preserve"> from being a security” and stated that “[d]</w:t>
      </w:r>
      <w:proofErr w:type="spellStart"/>
      <w:r w:rsidRPr="009358D4">
        <w:t>etermining</w:t>
      </w:r>
      <w:proofErr w:type="spellEnd"/>
      <w:r w:rsidRPr="009358D4">
        <w:t xml:space="preserve"> whether a transaction involves a security does not turn on labelling – such as characterizing an ICO as involving a ‘utility </w:t>
      </w:r>
      <w:r>
        <w:t>token</w:t>
      </w:r>
      <w:r w:rsidRPr="009358D4">
        <w:t>’ – but instead requires an assessment of ‘the economic realities underlying a transaction.’”</w:t>
      </w:r>
      <w:r w:rsidRPr="009358D4">
        <w:rPr>
          <w:rStyle w:val="FootnoteReference"/>
        </w:rPr>
        <w:footnoteReference w:id="65"/>
      </w:r>
      <w:r>
        <w:t xml:space="preserve"> In other words, even if the platform was fully operational, there could still be a chance the Tokens were investment contracts. Therefore, while a fully functional platform is not the only factor to consider, if it does exist, this does not necessarily contribute to the Token being a security. </w:t>
      </w:r>
    </w:p>
    <w:p w14:paraId="6FC78D96" w14:textId="77777777" w:rsidR="00BE67C0" w:rsidRPr="009358D4" w:rsidRDefault="00BE67C0" w:rsidP="00BE67C0">
      <w:pPr>
        <w:spacing w:line="480" w:lineRule="auto"/>
        <w:ind w:firstLine="720"/>
      </w:pPr>
      <w:r w:rsidRPr="009358D4">
        <w:t xml:space="preserve">Several months </w:t>
      </w:r>
      <w:r>
        <w:t xml:space="preserve">after the </w:t>
      </w:r>
      <w:proofErr w:type="spellStart"/>
      <w:r>
        <w:rPr>
          <w:i/>
        </w:rPr>
        <w:t>Munchee</w:t>
      </w:r>
      <w:proofErr w:type="spellEnd"/>
      <w:r>
        <w:rPr>
          <w:iCs/>
        </w:rPr>
        <w:t xml:space="preserve"> ruling</w:t>
      </w:r>
      <w:r w:rsidRPr="009358D4">
        <w:t xml:space="preserve">, William Hinman, Director of the SEC’s Division of Finance, provided guidance to the industry regarding the SEC’s position on “utility </w:t>
      </w:r>
      <w:r>
        <w:t>token</w:t>
      </w:r>
      <w:r w:rsidRPr="009358D4">
        <w:t>s.”</w:t>
      </w:r>
      <w:r>
        <w:rPr>
          <w:rStyle w:val="FootnoteReference"/>
        </w:rPr>
        <w:footnoteReference w:id="66"/>
      </w:r>
      <w:r w:rsidRPr="009358D4">
        <w:t xml:space="preserve"> He observed that “virtually any asset[s]” can be securities “provided the investor is reasonably expecting profits from the promoter’s efforts.”</w:t>
      </w:r>
      <w:r w:rsidRPr="009358D4">
        <w:rPr>
          <w:rStyle w:val="FootnoteReference"/>
        </w:rPr>
        <w:footnoteReference w:id="67"/>
      </w:r>
      <w:r w:rsidRPr="009358D4">
        <w:t xml:space="preserve"> In doing so, he referenced a 1985 Second Circuit case suggesting that certain representations by the seller of a product could convert the product into a security offering.</w:t>
      </w:r>
      <w:r w:rsidRPr="009358D4">
        <w:rPr>
          <w:rStyle w:val="FootnoteReference"/>
        </w:rPr>
        <w:footnoteReference w:id="68"/>
      </w:r>
      <w:r w:rsidRPr="009358D4">
        <w:t xml:space="preserve"> Seen in this light, even a true utility </w:t>
      </w:r>
      <w:r>
        <w:t>token</w:t>
      </w:r>
      <w:r w:rsidRPr="009358D4">
        <w:t xml:space="preserve"> with an immediate use case could fall within the ambit of the federal securities laws depending on the presence of investment intent and how it was marketed. Indeed, Director Hinman underscored that the </w:t>
      </w:r>
      <w:r w:rsidRPr="00CF6383">
        <w:rPr>
          <w:i/>
        </w:rPr>
        <w:t>Howey</w:t>
      </w:r>
      <w:r w:rsidRPr="009358D4">
        <w:t> analysis “is not static and does not strictly inhere to the instrument.”</w:t>
      </w:r>
      <w:r w:rsidRPr="009358D4">
        <w:rPr>
          <w:rStyle w:val="FootnoteReference"/>
        </w:rPr>
        <w:footnoteReference w:id="69"/>
      </w:r>
    </w:p>
    <w:p w14:paraId="558F96D9" w14:textId="77777777" w:rsidR="00BE67C0" w:rsidRPr="009358D4" w:rsidRDefault="00BE67C0" w:rsidP="00BE67C0">
      <w:pPr>
        <w:spacing w:line="480" w:lineRule="auto"/>
        <w:ind w:firstLine="720"/>
      </w:pPr>
      <w:r w:rsidRPr="009358D4">
        <w:t>Consistent with the concept of </w:t>
      </w:r>
      <w:r w:rsidRPr="009358D4">
        <w:rPr>
          <w:i/>
        </w:rPr>
        <w:t>Howey</w:t>
      </w:r>
      <w:r w:rsidRPr="009358D4">
        <w:t> as a moving target, Director Hinman stated that “a digital asset offered as a security can, over time, become something other than a security.”</w:t>
      </w:r>
      <w:r w:rsidRPr="009358D4">
        <w:rPr>
          <w:rStyle w:val="FootnoteReference"/>
        </w:rPr>
        <w:footnoteReference w:id="70"/>
      </w:r>
      <w:r w:rsidRPr="009358D4">
        <w:t xml:space="preserve"> For example, a digital </w:t>
      </w:r>
      <w:r>
        <w:t>token</w:t>
      </w:r>
      <w:r w:rsidRPr="009358D4">
        <w:t xml:space="preserve"> </w:t>
      </w:r>
      <w:r w:rsidRPr="009358D4">
        <w:lastRenderedPageBreak/>
        <w:t xml:space="preserve">used to purchase goods and services within a “sufficiently decentralized” network – </w:t>
      </w:r>
      <w:r w:rsidRPr="00CF6383">
        <w:rPr>
          <w:i/>
        </w:rPr>
        <w:t>i.e.</w:t>
      </w:r>
      <w:r w:rsidRPr="009358D4">
        <w:t>, one “where purchasers would no longer reasonably expect a person or group to carry out essential managerial or entrepreneurial efforts” – could evolve beyond its initial classification as a security.</w:t>
      </w:r>
      <w:r w:rsidRPr="009358D4">
        <w:rPr>
          <w:rStyle w:val="FootnoteReference"/>
        </w:rPr>
        <w:footnoteReference w:id="71"/>
      </w:r>
      <w:r w:rsidRPr="009358D4">
        <w:t xml:space="preserve"> As such, Director Hinman intimated that a fully functioning utility </w:t>
      </w:r>
      <w:r>
        <w:t>token</w:t>
      </w:r>
      <w:r w:rsidRPr="009358D4">
        <w:t xml:space="preserve"> may fall outside of the SEC’s jurisdiction. </w:t>
      </w:r>
    </w:p>
    <w:p w14:paraId="009AD748" w14:textId="77777777" w:rsidR="00BE67C0" w:rsidRDefault="00BE67C0" w:rsidP="00BE67C0">
      <w:pPr>
        <w:spacing w:line="480" w:lineRule="auto"/>
        <w:ind w:firstLine="720"/>
      </w:pPr>
      <w:r w:rsidRPr="009358D4">
        <w:t xml:space="preserve">Director Hinman provided a number of factors in assessing whether a digital </w:t>
      </w:r>
      <w:r>
        <w:t>token</w:t>
      </w:r>
      <w:r w:rsidRPr="009358D4">
        <w:t xml:space="preserve"> is offered as an investment contract and thus a security, including the role of the promoter and whether the asset is designed for investment or consumptive purposes. Importantly, he concluded that current offers and sales of Ether and Bitcoin are not securities transactions.</w:t>
      </w:r>
      <w:r w:rsidRPr="009358D4">
        <w:rPr>
          <w:rStyle w:val="FootnoteReference"/>
        </w:rPr>
        <w:footnoteReference w:id="72"/>
      </w:r>
      <w:r w:rsidRPr="009358D4">
        <w:t xml:space="preserve"> Hinman’s speech suggests a </w:t>
      </w:r>
      <w:r>
        <w:t>clarification</w:t>
      </w:r>
      <w:r w:rsidRPr="009358D4">
        <w:t xml:space="preserve"> of the SEC’s stance towards ICOs and a path forward for </w:t>
      </w:r>
      <w:r>
        <w:t>certain token</w:t>
      </w:r>
      <w:r w:rsidRPr="009358D4">
        <w:t xml:space="preserve">s. Moreover, the SEC expressed a willingness to provide market participants with case-specific guidance on these issues, thereby further reducing the regulatory risk of </w:t>
      </w:r>
      <w:r>
        <w:t>token</w:t>
      </w:r>
      <w:r w:rsidRPr="009358D4">
        <w:t xml:space="preserve"> transactions. For example, Director Hinman has stated that “[w]e stand prepared to provide more formal interpretive or no-action guidance about the proper characterization of a digital asset in a proposed use.”</w:t>
      </w:r>
      <w:r w:rsidRPr="009358D4">
        <w:rPr>
          <w:rStyle w:val="FootnoteReference"/>
        </w:rPr>
        <w:footnoteReference w:id="73"/>
      </w:r>
      <w:r w:rsidRPr="009358D4">
        <w:t xml:space="preserve"> </w:t>
      </w:r>
    </w:p>
    <w:p w14:paraId="4F418D78" w14:textId="03298ABF" w:rsidR="00BE67C0" w:rsidRDefault="00BE67C0" w:rsidP="00BE67C0">
      <w:pPr>
        <w:spacing w:line="480" w:lineRule="auto"/>
        <w:ind w:firstLine="720"/>
        <w:rPr>
          <w:color w:val="000000" w:themeColor="text1"/>
        </w:rPr>
      </w:pPr>
      <w:r>
        <w:t xml:space="preserve">More recently, the SEC issued additional guidance in the </w:t>
      </w:r>
      <w:r>
        <w:rPr>
          <w:i/>
          <w:iCs/>
        </w:rPr>
        <w:t>Tomahawk</w:t>
      </w:r>
      <w:r>
        <w:t xml:space="preserve">, </w:t>
      </w:r>
      <w:proofErr w:type="spellStart"/>
      <w:r w:rsidRPr="00D652E2">
        <w:rPr>
          <w:i/>
          <w:iCs/>
        </w:rPr>
        <w:t>Airfox</w:t>
      </w:r>
      <w:proofErr w:type="spellEnd"/>
      <w:r>
        <w:t xml:space="preserve">, and </w:t>
      </w:r>
      <w:r w:rsidRPr="00D652E2">
        <w:rPr>
          <w:i/>
          <w:iCs/>
        </w:rPr>
        <w:t>Paragon</w:t>
      </w:r>
      <w:r>
        <w:t xml:space="preserve"> opinions. </w:t>
      </w:r>
      <w:r>
        <w:rPr>
          <w:color w:val="000000" w:themeColor="text1"/>
        </w:rPr>
        <w:t xml:space="preserve">In </w:t>
      </w:r>
      <w:r>
        <w:rPr>
          <w:i/>
          <w:iCs/>
          <w:color w:val="000000" w:themeColor="text1"/>
        </w:rPr>
        <w:t>Tomahawk</w:t>
      </w:r>
      <w:r>
        <w:rPr>
          <w:color w:val="000000" w:themeColor="text1"/>
        </w:rPr>
        <w:t xml:space="preserve">, the SEC </w:t>
      </w:r>
      <w:r w:rsidR="00302830">
        <w:rPr>
          <w:color w:val="000000" w:themeColor="text1"/>
        </w:rPr>
        <w:t xml:space="preserve">alleged </w:t>
      </w:r>
      <w:r>
        <w:rPr>
          <w:color w:val="000000" w:themeColor="text1"/>
        </w:rPr>
        <w:t xml:space="preserve">the </w:t>
      </w:r>
      <w:r w:rsidRPr="00042DF7">
        <w:rPr>
          <w:color w:val="000000" w:themeColor="text1"/>
        </w:rPr>
        <w:t xml:space="preserve">issuance of </w:t>
      </w:r>
      <w:r>
        <w:rPr>
          <w:color w:val="000000" w:themeColor="text1"/>
        </w:rPr>
        <w:t>token</w:t>
      </w:r>
      <w:r w:rsidRPr="00042DF7">
        <w:rPr>
          <w:color w:val="000000" w:themeColor="text1"/>
        </w:rPr>
        <w:t xml:space="preserve">s in exchange for services rather than </w:t>
      </w:r>
      <w:r>
        <w:rPr>
          <w:color w:val="000000" w:themeColor="text1"/>
        </w:rPr>
        <w:t>any form of money</w:t>
      </w:r>
      <w:r w:rsidRPr="00042DF7">
        <w:rPr>
          <w:color w:val="000000" w:themeColor="text1"/>
        </w:rPr>
        <w:t xml:space="preserve"> constitute</w:t>
      </w:r>
      <w:r w:rsidR="00302830">
        <w:rPr>
          <w:color w:val="000000" w:themeColor="text1"/>
        </w:rPr>
        <w:t>s</w:t>
      </w:r>
      <w:r w:rsidRPr="00042DF7">
        <w:rPr>
          <w:color w:val="000000" w:themeColor="text1"/>
        </w:rPr>
        <w:t xml:space="preserve"> an offering of securities</w:t>
      </w:r>
      <w:r w:rsidR="00302830">
        <w:rPr>
          <w:color w:val="000000" w:themeColor="text1"/>
        </w:rPr>
        <w:t xml:space="preserve"> for an investment of money</w:t>
      </w:r>
      <w:r>
        <w:rPr>
          <w:color w:val="000000" w:themeColor="text1"/>
        </w:rPr>
        <w:t>.</w:t>
      </w:r>
      <w:r>
        <w:rPr>
          <w:rStyle w:val="FootnoteReference"/>
          <w:color w:val="000000" w:themeColor="text1"/>
        </w:rPr>
        <w:footnoteReference w:id="74"/>
      </w:r>
      <w:r>
        <w:rPr>
          <w:color w:val="000000" w:themeColor="text1"/>
        </w:rPr>
        <w:t xml:space="preserve"> In addition to </w:t>
      </w:r>
      <w:r w:rsidR="00302830">
        <w:rPr>
          <w:color w:val="000000" w:themeColor="text1"/>
        </w:rPr>
        <w:t xml:space="preserve">conducting </w:t>
      </w:r>
      <w:r>
        <w:rPr>
          <w:color w:val="000000" w:themeColor="text1"/>
        </w:rPr>
        <w:t xml:space="preserve">an ICO, </w:t>
      </w:r>
      <w:r w:rsidRPr="00042DF7">
        <w:rPr>
          <w:color w:val="000000" w:themeColor="text1"/>
        </w:rPr>
        <w:t>Tomahawk Exploration LLC</w:t>
      </w:r>
      <w:r w:rsidR="00302830">
        <w:rPr>
          <w:color w:val="000000" w:themeColor="text1"/>
        </w:rPr>
        <w:t xml:space="preserve"> operated a </w:t>
      </w:r>
      <w:r w:rsidRPr="00042DF7">
        <w:rPr>
          <w:color w:val="000000" w:themeColor="text1"/>
        </w:rPr>
        <w:t xml:space="preserve"> </w:t>
      </w:r>
      <w:r>
        <w:rPr>
          <w:color w:val="000000" w:themeColor="text1"/>
        </w:rPr>
        <w:t>“</w:t>
      </w:r>
      <w:r w:rsidRPr="00042DF7">
        <w:rPr>
          <w:color w:val="000000" w:themeColor="text1"/>
        </w:rPr>
        <w:t>Bounty Program,</w:t>
      </w:r>
      <w:r>
        <w:rPr>
          <w:color w:val="000000" w:themeColor="text1"/>
        </w:rPr>
        <w:t>”</w:t>
      </w:r>
      <w:r w:rsidRPr="00042DF7">
        <w:rPr>
          <w:color w:val="000000" w:themeColor="text1"/>
        </w:rPr>
        <w:t xml:space="preserve"> whereby 200,000 TOM </w:t>
      </w:r>
      <w:r>
        <w:rPr>
          <w:color w:val="000000" w:themeColor="text1"/>
        </w:rPr>
        <w:t>token</w:t>
      </w:r>
      <w:r w:rsidRPr="00042DF7">
        <w:rPr>
          <w:color w:val="000000" w:themeColor="text1"/>
        </w:rPr>
        <w:t>s </w:t>
      </w:r>
      <w:r>
        <w:rPr>
          <w:color w:val="000000" w:themeColor="text1"/>
        </w:rPr>
        <w:t xml:space="preserve">were allocated </w:t>
      </w:r>
      <w:r w:rsidRPr="00042DF7">
        <w:rPr>
          <w:color w:val="000000" w:themeColor="text1"/>
        </w:rPr>
        <w:t xml:space="preserve">to pay third parties, offering between 10 and 4,000 TOM </w:t>
      </w:r>
      <w:r>
        <w:rPr>
          <w:color w:val="000000" w:themeColor="text1"/>
        </w:rPr>
        <w:t>token</w:t>
      </w:r>
      <w:r w:rsidRPr="00042DF7">
        <w:rPr>
          <w:color w:val="000000" w:themeColor="text1"/>
        </w:rPr>
        <w:t>s in exchange for the following activities:</w:t>
      </w:r>
      <w:r>
        <w:rPr>
          <w:color w:val="000000" w:themeColor="text1"/>
        </w:rPr>
        <w:t xml:space="preserve"> </w:t>
      </w:r>
      <w:r w:rsidRPr="00042DF7">
        <w:rPr>
          <w:color w:val="000000" w:themeColor="text1"/>
        </w:rPr>
        <w:t>marketing efforts;</w:t>
      </w:r>
      <w:r>
        <w:rPr>
          <w:color w:val="000000" w:themeColor="text1"/>
        </w:rPr>
        <w:t xml:space="preserve"> </w:t>
      </w:r>
      <w:r w:rsidRPr="00042DF7">
        <w:rPr>
          <w:color w:val="000000" w:themeColor="text1"/>
        </w:rPr>
        <w:t xml:space="preserve">making requests to list TOM </w:t>
      </w:r>
      <w:r>
        <w:rPr>
          <w:color w:val="000000" w:themeColor="text1"/>
        </w:rPr>
        <w:t>token</w:t>
      </w:r>
      <w:r w:rsidRPr="00042DF7">
        <w:rPr>
          <w:color w:val="000000" w:themeColor="text1"/>
        </w:rPr>
        <w:t xml:space="preserve">s on </w:t>
      </w:r>
      <w:r>
        <w:rPr>
          <w:color w:val="000000" w:themeColor="text1"/>
        </w:rPr>
        <w:t>token</w:t>
      </w:r>
      <w:r w:rsidRPr="00042DF7">
        <w:rPr>
          <w:color w:val="000000" w:themeColor="text1"/>
        </w:rPr>
        <w:t xml:space="preserve"> trading platforms;</w:t>
      </w:r>
      <w:r>
        <w:rPr>
          <w:color w:val="000000" w:themeColor="text1"/>
        </w:rPr>
        <w:t xml:space="preserve"> </w:t>
      </w:r>
      <w:r w:rsidRPr="00042DF7">
        <w:rPr>
          <w:color w:val="000000" w:themeColor="text1"/>
        </w:rPr>
        <w:t xml:space="preserve">promoting TOM </w:t>
      </w:r>
      <w:r>
        <w:rPr>
          <w:color w:val="000000" w:themeColor="text1"/>
        </w:rPr>
        <w:t>token</w:t>
      </w:r>
      <w:r w:rsidRPr="00042DF7">
        <w:rPr>
          <w:color w:val="000000" w:themeColor="text1"/>
        </w:rPr>
        <w:t>s on blogs and online forums such as Twitter or Facebook;</w:t>
      </w:r>
      <w:r>
        <w:rPr>
          <w:color w:val="000000" w:themeColor="text1"/>
        </w:rPr>
        <w:t xml:space="preserve"> </w:t>
      </w:r>
      <w:r w:rsidRPr="00042DF7">
        <w:rPr>
          <w:color w:val="000000" w:themeColor="text1"/>
        </w:rPr>
        <w:t>creating professional picture file designs;</w:t>
      </w:r>
      <w:r>
        <w:rPr>
          <w:color w:val="000000" w:themeColor="text1"/>
        </w:rPr>
        <w:t xml:space="preserve"> </w:t>
      </w:r>
      <w:r w:rsidRPr="00042DF7">
        <w:rPr>
          <w:color w:val="000000" w:themeColor="text1"/>
        </w:rPr>
        <w:t>YouTube videos, other promotional materials; and</w:t>
      </w:r>
      <w:r>
        <w:rPr>
          <w:color w:val="000000" w:themeColor="text1"/>
        </w:rPr>
        <w:t xml:space="preserve"> </w:t>
      </w:r>
      <w:r w:rsidRPr="00042DF7">
        <w:rPr>
          <w:color w:val="000000" w:themeColor="text1"/>
        </w:rPr>
        <w:t>online promotional efforts that targeted potential investors and directed them to Tomahawk's offering materials</w:t>
      </w:r>
      <w:r>
        <w:rPr>
          <w:color w:val="000000" w:themeColor="text1"/>
        </w:rPr>
        <w:t>.</w:t>
      </w:r>
      <w:r>
        <w:rPr>
          <w:rStyle w:val="FootnoteReference"/>
          <w:color w:val="000000" w:themeColor="text1"/>
        </w:rPr>
        <w:footnoteReference w:id="75"/>
      </w:r>
      <w:r>
        <w:rPr>
          <w:color w:val="000000" w:themeColor="text1"/>
        </w:rPr>
        <w:t xml:space="preserve"> </w:t>
      </w:r>
      <w:r w:rsidRPr="00042DF7">
        <w:rPr>
          <w:color w:val="000000" w:themeColor="text1"/>
        </w:rPr>
        <w:t xml:space="preserve">Tomahawk issued more than 80,000 TOM </w:t>
      </w:r>
      <w:r>
        <w:rPr>
          <w:color w:val="000000" w:themeColor="text1"/>
        </w:rPr>
        <w:t>token</w:t>
      </w:r>
      <w:r w:rsidRPr="00042DF7">
        <w:rPr>
          <w:color w:val="000000" w:themeColor="text1"/>
        </w:rPr>
        <w:t xml:space="preserve">s as bounties to </w:t>
      </w:r>
      <w:r w:rsidRPr="00042DF7">
        <w:rPr>
          <w:color w:val="000000" w:themeColor="text1"/>
        </w:rPr>
        <w:lastRenderedPageBreak/>
        <w:t>approximately forty wallet holders on Tomahawk's decentralized platform in exchange for the activities listed above.</w:t>
      </w:r>
      <w:r>
        <w:rPr>
          <w:color w:val="000000" w:themeColor="text1"/>
        </w:rPr>
        <w:t xml:space="preserve"> </w:t>
      </w:r>
    </w:p>
    <w:p w14:paraId="20DD03CC" w14:textId="77777777" w:rsidR="00BE67C0" w:rsidRDefault="00BE67C0" w:rsidP="00BE67C0">
      <w:pPr>
        <w:spacing w:line="480" w:lineRule="auto"/>
        <w:ind w:firstLine="720"/>
        <w:rPr>
          <w:color w:val="000000" w:themeColor="text1"/>
        </w:rPr>
      </w:pPr>
      <w:r>
        <w:rPr>
          <w:color w:val="000000" w:themeColor="text1"/>
        </w:rPr>
        <w:t>T</w:t>
      </w:r>
      <w:r w:rsidRPr="00042DF7">
        <w:rPr>
          <w:color w:val="000000" w:themeColor="text1"/>
        </w:rPr>
        <w:t xml:space="preserve">he SEC reasoned that the TOM </w:t>
      </w:r>
      <w:r>
        <w:rPr>
          <w:color w:val="000000" w:themeColor="text1"/>
        </w:rPr>
        <w:t>token</w:t>
      </w:r>
      <w:r w:rsidRPr="00042DF7">
        <w:rPr>
          <w:color w:val="000000" w:themeColor="text1"/>
        </w:rPr>
        <w:t>s were considered securities because</w:t>
      </w:r>
      <w:r>
        <w:rPr>
          <w:color w:val="000000" w:themeColor="text1"/>
        </w:rPr>
        <w:t xml:space="preserve"> “</w:t>
      </w:r>
      <w:r w:rsidRPr="00042DF7">
        <w:rPr>
          <w:color w:val="000000" w:themeColor="text1"/>
        </w:rPr>
        <w:t xml:space="preserve">[t]he TOM </w:t>
      </w:r>
      <w:r>
        <w:rPr>
          <w:color w:val="000000" w:themeColor="text1"/>
        </w:rPr>
        <w:t>token</w:t>
      </w:r>
      <w:r w:rsidRPr="00042DF7">
        <w:rPr>
          <w:color w:val="000000" w:themeColor="text1"/>
        </w:rPr>
        <w:t>s were offered in exchange for the investment of money or other contributions of value</w:t>
      </w:r>
      <w:r>
        <w:rPr>
          <w:color w:val="000000" w:themeColor="text1"/>
        </w:rPr>
        <w:t>”</w:t>
      </w:r>
      <w:r w:rsidRPr="00042DF7">
        <w:rPr>
          <w:color w:val="000000" w:themeColor="text1"/>
        </w:rPr>
        <w:t xml:space="preserve"> and that </w:t>
      </w:r>
      <w:r>
        <w:rPr>
          <w:color w:val="000000" w:themeColor="text1"/>
        </w:rPr>
        <w:t>“</w:t>
      </w:r>
      <w:r w:rsidRPr="00042DF7">
        <w:rPr>
          <w:color w:val="000000" w:themeColor="text1"/>
        </w:rPr>
        <w:t xml:space="preserve">[t]he representations in the online offering materials created an expectation of profits derived from the efforts of others, namely from the oil exploration and production operations conducted by Tomahawk and from the opportunity to trade TOM </w:t>
      </w:r>
      <w:r>
        <w:rPr>
          <w:color w:val="000000" w:themeColor="text1"/>
        </w:rPr>
        <w:t>token</w:t>
      </w:r>
      <w:r w:rsidRPr="00042DF7">
        <w:rPr>
          <w:color w:val="000000" w:themeColor="text1"/>
        </w:rPr>
        <w:t>s on a secondary trading platform.</w:t>
      </w:r>
      <w:r>
        <w:rPr>
          <w:color w:val="000000" w:themeColor="text1"/>
        </w:rPr>
        <w:t>”</w:t>
      </w:r>
      <w:r>
        <w:rPr>
          <w:rStyle w:val="FootnoteReference"/>
          <w:color w:val="000000" w:themeColor="text1"/>
        </w:rPr>
        <w:footnoteReference w:id="76"/>
      </w:r>
      <w:r>
        <w:rPr>
          <w:color w:val="000000" w:themeColor="text1"/>
        </w:rPr>
        <w:t xml:space="preserve"> Importantly,</w:t>
      </w:r>
      <w:r w:rsidRPr="00042DF7">
        <w:rPr>
          <w:color w:val="000000" w:themeColor="text1"/>
        </w:rPr>
        <w:t xml:space="preserve"> the SEC Staff </w:t>
      </w:r>
      <w:r>
        <w:rPr>
          <w:color w:val="000000" w:themeColor="text1"/>
        </w:rPr>
        <w:t>stated the</w:t>
      </w:r>
      <w:r w:rsidRPr="00042DF7">
        <w:rPr>
          <w:color w:val="000000" w:themeColor="text1"/>
        </w:rPr>
        <w:t xml:space="preserve"> Bounty Program constituted an offer and sale of securities because </w:t>
      </w:r>
      <w:r>
        <w:rPr>
          <w:color w:val="000000" w:themeColor="text1"/>
        </w:rPr>
        <w:t>Tomahawk</w:t>
      </w:r>
      <w:r w:rsidRPr="00042DF7">
        <w:rPr>
          <w:color w:val="000000" w:themeColor="text1"/>
        </w:rPr>
        <w:t xml:space="preserve"> provided </w:t>
      </w:r>
      <w:r>
        <w:rPr>
          <w:color w:val="000000" w:themeColor="text1"/>
        </w:rPr>
        <w:t>token</w:t>
      </w:r>
      <w:r w:rsidRPr="00042DF7">
        <w:rPr>
          <w:color w:val="000000" w:themeColor="text1"/>
        </w:rPr>
        <w:t>s to investors in exchange for investors</w:t>
      </w:r>
      <w:r>
        <w:rPr>
          <w:color w:val="000000" w:themeColor="text1"/>
        </w:rPr>
        <w:t>’</w:t>
      </w:r>
      <w:r w:rsidRPr="00042DF7">
        <w:rPr>
          <w:color w:val="000000" w:themeColor="text1"/>
        </w:rPr>
        <w:t xml:space="preserve"> services designed to advance the company's economic interests and foster a trading market for its securities.</w:t>
      </w:r>
      <w:r>
        <w:rPr>
          <w:rStyle w:val="FootnoteReference"/>
          <w:color w:val="000000" w:themeColor="text1"/>
        </w:rPr>
        <w:footnoteReference w:id="77"/>
      </w:r>
      <w:r>
        <w:rPr>
          <w:color w:val="000000" w:themeColor="text1"/>
        </w:rPr>
        <w:t xml:space="preserve"> The SEC</w:t>
      </w:r>
      <w:r w:rsidRPr="00042DF7">
        <w:rPr>
          <w:color w:val="000000" w:themeColor="text1"/>
        </w:rPr>
        <w:t xml:space="preserve"> explained </w:t>
      </w:r>
      <w:r>
        <w:rPr>
          <w:color w:val="000000" w:themeColor="text1"/>
        </w:rPr>
        <w:t>how</w:t>
      </w:r>
      <w:r w:rsidRPr="00042DF7">
        <w:rPr>
          <w:color w:val="000000" w:themeColor="text1"/>
        </w:rPr>
        <w:t xml:space="preserve"> distributing </w:t>
      </w:r>
      <w:r>
        <w:rPr>
          <w:color w:val="000000" w:themeColor="text1"/>
        </w:rPr>
        <w:t>token</w:t>
      </w:r>
      <w:r w:rsidRPr="00042DF7">
        <w:rPr>
          <w:color w:val="000000" w:themeColor="text1"/>
        </w:rPr>
        <w:t xml:space="preserve">s in exchange for services could still be deemed an offer of securities under Section 2(a)(3) of the Securities Act because it involved </w:t>
      </w:r>
      <w:r>
        <w:rPr>
          <w:color w:val="000000" w:themeColor="text1"/>
        </w:rPr>
        <w:t>“</w:t>
      </w:r>
      <w:r w:rsidRPr="00042DF7">
        <w:rPr>
          <w:color w:val="000000" w:themeColor="text1"/>
        </w:rPr>
        <w:t>an attempt or offer to dispose of, or solicitation of an offer to buy, a security or interest in a security, for value.</w:t>
      </w:r>
      <w:r>
        <w:rPr>
          <w:color w:val="000000" w:themeColor="text1"/>
        </w:rPr>
        <w:t>”</w:t>
      </w:r>
      <w:r w:rsidRPr="00042DF7">
        <w:rPr>
          <w:color w:val="000000" w:themeColor="text1"/>
        </w:rPr>
        <w:t xml:space="preserve"> The SEC </w:t>
      </w:r>
      <w:r>
        <w:rPr>
          <w:color w:val="000000" w:themeColor="text1"/>
        </w:rPr>
        <w:t>determined</w:t>
      </w:r>
      <w:r w:rsidRPr="00042DF7">
        <w:rPr>
          <w:color w:val="000000" w:themeColor="text1"/>
        </w:rPr>
        <w:t xml:space="preserve"> that notwithstanding </w:t>
      </w:r>
      <w:r>
        <w:rPr>
          <w:color w:val="000000" w:themeColor="text1"/>
        </w:rPr>
        <w:t>“</w:t>
      </w:r>
      <w:r w:rsidRPr="00042DF7">
        <w:rPr>
          <w:color w:val="000000" w:themeColor="text1"/>
        </w:rPr>
        <w:t xml:space="preserve">[t]he lack of monetary consideration for purportedly </w:t>
      </w:r>
      <w:r>
        <w:rPr>
          <w:color w:val="000000" w:themeColor="text1"/>
        </w:rPr>
        <w:t>‘f</w:t>
      </w:r>
      <w:r w:rsidRPr="00042DF7">
        <w:rPr>
          <w:color w:val="000000" w:themeColor="text1"/>
        </w:rPr>
        <w:t>ree</w:t>
      </w:r>
      <w:r>
        <w:rPr>
          <w:color w:val="000000" w:themeColor="text1"/>
        </w:rPr>
        <w:t>’</w:t>
      </w:r>
      <w:r w:rsidRPr="00042DF7">
        <w:rPr>
          <w:color w:val="000000" w:themeColor="text1"/>
        </w:rPr>
        <w:t xml:space="preserve"> shares,</w:t>
      </w:r>
      <w:r>
        <w:rPr>
          <w:color w:val="000000" w:themeColor="text1"/>
        </w:rPr>
        <w:t>”</w:t>
      </w:r>
      <w:r w:rsidRPr="00042DF7">
        <w:rPr>
          <w:color w:val="000000" w:themeColor="text1"/>
        </w:rPr>
        <w:t xml:space="preserve"> the issuance as a </w:t>
      </w:r>
      <w:r>
        <w:rPr>
          <w:color w:val="000000" w:themeColor="text1"/>
        </w:rPr>
        <w:t>“</w:t>
      </w:r>
      <w:r w:rsidRPr="00042DF7">
        <w:rPr>
          <w:color w:val="000000" w:themeColor="text1"/>
        </w:rPr>
        <w:t>gift</w:t>
      </w:r>
      <w:r>
        <w:rPr>
          <w:color w:val="000000" w:themeColor="text1"/>
        </w:rPr>
        <w:t>”</w:t>
      </w:r>
      <w:r w:rsidRPr="00042DF7">
        <w:rPr>
          <w:color w:val="000000" w:themeColor="text1"/>
        </w:rPr>
        <w:t xml:space="preserve"> through the Bounty Program constituted a </w:t>
      </w:r>
      <w:r>
        <w:rPr>
          <w:color w:val="000000" w:themeColor="text1"/>
        </w:rPr>
        <w:t>“</w:t>
      </w:r>
      <w:r w:rsidRPr="00042DF7">
        <w:rPr>
          <w:color w:val="000000" w:themeColor="text1"/>
        </w:rPr>
        <w:t>sale</w:t>
      </w:r>
      <w:r>
        <w:rPr>
          <w:color w:val="000000" w:themeColor="text1"/>
        </w:rPr>
        <w:t>”</w:t>
      </w:r>
      <w:r w:rsidRPr="00042DF7">
        <w:rPr>
          <w:color w:val="000000" w:themeColor="text1"/>
        </w:rPr>
        <w:t xml:space="preserve"> or </w:t>
      </w:r>
      <w:r>
        <w:rPr>
          <w:color w:val="000000" w:themeColor="text1"/>
        </w:rPr>
        <w:t>“</w:t>
      </w:r>
      <w:r w:rsidRPr="00042DF7">
        <w:rPr>
          <w:color w:val="000000" w:themeColor="text1"/>
        </w:rPr>
        <w:t>offer to sell</w:t>
      </w:r>
      <w:r>
        <w:rPr>
          <w:color w:val="000000" w:themeColor="text1"/>
        </w:rPr>
        <w:t>”</w:t>
      </w:r>
      <w:r w:rsidRPr="00042DF7">
        <w:rPr>
          <w:color w:val="000000" w:themeColor="text1"/>
        </w:rPr>
        <w:t xml:space="preserve"> within the meaning of the Securities Act</w:t>
      </w:r>
      <w:r>
        <w:rPr>
          <w:color w:val="000000" w:themeColor="text1"/>
        </w:rPr>
        <w:t>.</w:t>
      </w:r>
      <w:r>
        <w:rPr>
          <w:rStyle w:val="FootnoteReference"/>
          <w:color w:val="000000" w:themeColor="text1"/>
        </w:rPr>
        <w:footnoteReference w:id="78"/>
      </w:r>
      <w:r>
        <w:rPr>
          <w:color w:val="000000" w:themeColor="text1"/>
        </w:rPr>
        <w:t xml:space="preserve"> Therefore, when tokens are provided through a bounty program in exchange for services, this alone can still result in the token being a security. </w:t>
      </w:r>
    </w:p>
    <w:p w14:paraId="29C93E1C" w14:textId="265D73A9" w:rsidR="00BE67C0" w:rsidRDefault="00D30067" w:rsidP="00BE67C0">
      <w:pPr>
        <w:spacing w:line="480" w:lineRule="auto"/>
        <w:ind w:firstLine="720"/>
      </w:pPr>
      <w:r>
        <w:rPr>
          <w:color w:val="000000" w:themeColor="text1"/>
        </w:rPr>
        <w:t>Additionally</w:t>
      </w:r>
      <w:r w:rsidR="00BE67C0">
        <w:rPr>
          <w:color w:val="000000" w:themeColor="text1"/>
        </w:rPr>
        <w:t xml:space="preserve">, in two SEC </w:t>
      </w:r>
      <w:r w:rsidR="00BE67C0">
        <w:t xml:space="preserve">administrative rulings, </w:t>
      </w:r>
      <w:proofErr w:type="spellStart"/>
      <w:r w:rsidR="00BE67C0" w:rsidRPr="00F15B82">
        <w:rPr>
          <w:i/>
          <w:iCs/>
        </w:rPr>
        <w:t>Airfox</w:t>
      </w:r>
      <w:proofErr w:type="spellEnd"/>
      <w:r w:rsidR="00BE67C0">
        <w:t xml:space="preserve"> and </w:t>
      </w:r>
      <w:r w:rsidR="00BE67C0" w:rsidRPr="00F15B82">
        <w:rPr>
          <w:i/>
          <w:iCs/>
        </w:rPr>
        <w:t>Paragon</w:t>
      </w:r>
      <w:r w:rsidR="00BE67C0">
        <w:t>, token</w:t>
      </w:r>
      <w:r w:rsidR="00BE67C0" w:rsidRPr="00042DF7">
        <w:t xml:space="preserve">s </w:t>
      </w:r>
      <w:r w:rsidR="00BE67C0">
        <w:t>were offered with the promise that the tokens provided</w:t>
      </w:r>
      <w:r w:rsidR="00BE67C0" w:rsidRPr="00042DF7">
        <w:t xml:space="preserve"> utility to investors within the applications developed by the companies</w:t>
      </w:r>
      <w:r w:rsidR="00BE67C0">
        <w:t>.</w:t>
      </w:r>
      <w:r w:rsidR="00BE67C0">
        <w:rPr>
          <w:rStyle w:val="FootnoteReference"/>
        </w:rPr>
        <w:footnoteReference w:id="79"/>
      </w:r>
      <w:r w:rsidR="00BE67C0">
        <w:t xml:space="preserve"> </w:t>
      </w:r>
      <w:r w:rsidR="00BE67C0" w:rsidRPr="00042DF7">
        <w:t xml:space="preserve">However, the companies intended to add new functionality to their </w:t>
      </w:r>
      <w:r w:rsidR="00BE67C0">
        <w:t>platforms</w:t>
      </w:r>
      <w:r w:rsidR="00BE67C0" w:rsidRPr="00042DF7">
        <w:t xml:space="preserve"> after the offerings and primed investors</w:t>
      </w:r>
      <w:r w:rsidR="00BE67C0">
        <w:t>’</w:t>
      </w:r>
      <w:r w:rsidR="00BE67C0" w:rsidRPr="00042DF7">
        <w:t xml:space="preserve"> expectations to profit from such functionality in online promotional material. Each of the companies also assured investors that they would promote a secondary market for their </w:t>
      </w:r>
      <w:r w:rsidR="00BE67C0">
        <w:t>token</w:t>
      </w:r>
      <w:r w:rsidR="00BE67C0" w:rsidRPr="00042DF7">
        <w:t xml:space="preserve">s and control the supply of </w:t>
      </w:r>
      <w:r w:rsidR="00BE67C0" w:rsidRPr="00042DF7">
        <w:lastRenderedPageBreak/>
        <w:t xml:space="preserve">their </w:t>
      </w:r>
      <w:r w:rsidR="00BE67C0">
        <w:t>token</w:t>
      </w:r>
      <w:r w:rsidR="00BE67C0" w:rsidRPr="00042DF7">
        <w:t xml:space="preserve">s. Given these entrepreneurial efforts and their actual and marketed link to the value of the </w:t>
      </w:r>
      <w:r w:rsidR="00BE67C0">
        <w:t>token</w:t>
      </w:r>
      <w:r w:rsidR="00BE67C0" w:rsidRPr="00042DF7">
        <w:t xml:space="preserve">s, the </w:t>
      </w:r>
      <w:r w:rsidR="00BE67C0">
        <w:t>SEC</w:t>
      </w:r>
      <w:r w:rsidR="00BE67C0" w:rsidRPr="00042DF7">
        <w:t xml:space="preserve"> found investors reasonably expected to profit from the efforts of </w:t>
      </w:r>
      <w:proofErr w:type="spellStart"/>
      <w:r w:rsidR="00BE67C0" w:rsidRPr="00042DF7">
        <w:t>Airfox</w:t>
      </w:r>
      <w:proofErr w:type="spellEnd"/>
      <w:r w:rsidR="00BE67C0" w:rsidRPr="00042DF7">
        <w:t xml:space="preserve"> and Paragon.</w:t>
      </w:r>
    </w:p>
    <w:p w14:paraId="1DB8D3EE" w14:textId="521BC2FC" w:rsidR="00BE67C0" w:rsidRPr="00BE67C0" w:rsidRDefault="00BE67C0" w:rsidP="009358D4">
      <w:pPr>
        <w:pStyle w:val="ListParagraph"/>
        <w:numPr>
          <w:ilvl w:val="2"/>
          <w:numId w:val="3"/>
        </w:numPr>
        <w:rPr>
          <w:b/>
          <w:bCs/>
        </w:rPr>
      </w:pPr>
      <w:r>
        <w:rPr>
          <w:b/>
          <w:bCs/>
          <w:i/>
        </w:rPr>
        <w:t>SEC v. Ripple</w:t>
      </w:r>
    </w:p>
    <w:p w14:paraId="55D9F08E" w14:textId="43959B45" w:rsidR="005A3F8C" w:rsidRPr="009358D4" w:rsidRDefault="005A3F8C" w:rsidP="009358D4">
      <w:pPr>
        <w:rPr>
          <w:b/>
        </w:rPr>
      </w:pPr>
    </w:p>
    <w:p w14:paraId="055E16FC" w14:textId="67CEB60F" w:rsidR="00D30067" w:rsidRDefault="0027130A" w:rsidP="00D30067">
      <w:pPr>
        <w:spacing w:line="480" w:lineRule="auto"/>
        <w:ind w:firstLine="720"/>
      </w:pPr>
      <w:r>
        <w:t xml:space="preserve">On December 22, 2020, the </w:t>
      </w:r>
      <w:r w:rsidR="00AD2024">
        <w:t xml:space="preserve">SEC </w:t>
      </w:r>
      <w:r>
        <w:t xml:space="preserve">filed a Complaint against Ripple Labs Inc. (“Ripple”), </w:t>
      </w:r>
      <w:r w:rsidR="00302830">
        <w:t xml:space="preserve">a </w:t>
      </w:r>
      <w:r>
        <w:t>San Francisco-based financial technology corporation</w:t>
      </w:r>
      <w:r w:rsidR="00302830">
        <w:t xml:space="preserve"> and one of the largest Blockchain development companies in the world.</w:t>
      </w:r>
      <w:r>
        <w:t>. The Complaint alleges Ripple, along with Brad Garlinghouse and Chris Larsen, both Ripple executives, raised $1.3 billion in capital for Ripple by selling over 14.6 billion XRP tokens (“XRP”) through an unregistered security offering</w:t>
      </w:r>
      <w:r w:rsidRPr="004D2847">
        <w:rPr>
          <w:iCs/>
        </w:rPr>
        <w:t>.</w:t>
      </w:r>
      <w:r>
        <w:rPr>
          <w:rStyle w:val="FootnoteReference"/>
          <w:iCs/>
        </w:rPr>
        <w:footnoteReference w:id="80"/>
      </w:r>
      <w:r>
        <w:t xml:space="preserve"> </w:t>
      </w:r>
    </w:p>
    <w:p w14:paraId="06008DF0" w14:textId="002B4E98" w:rsidR="00D30067" w:rsidRDefault="00D30067" w:rsidP="00D30067">
      <w:pPr>
        <w:spacing w:line="480" w:lineRule="auto"/>
        <w:ind w:firstLine="720"/>
      </w:pPr>
      <w:r>
        <w:t xml:space="preserve">The SEC’s Complaint centers on section 5(a) and 5(c) of the Securities Act, which requires businesses to register sales of securities with the SEC. Registration requires the issuer to disclose material information which a reasonable investor would find substantial in their decision to invest. Determining if Ripple offered XRP as a security is central to the Complaint. </w:t>
      </w:r>
      <w:r w:rsidRPr="00A13120">
        <w:t xml:space="preserve">In 2019, the SEC published guidance </w:t>
      </w:r>
      <w:r w:rsidR="00302830">
        <w:t>stating</w:t>
      </w:r>
      <w:r w:rsidR="00302830" w:rsidRPr="00A13120">
        <w:t xml:space="preserve"> </w:t>
      </w:r>
      <w:r w:rsidRPr="00A13120">
        <w:t>“[b]</w:t>
      </w:r>
      <w:proofErr w:type="spellStart"/>
      <w:r w:rsidRPr="00A13120">
        <w:t>oth</w:t>
      </w:r>
      <w:proofErr w:type="spellEnd"/>
      <w:r w:rsidRPr="00A13120">
        <w:t xml:space="preserve"> the Commission and the federal courts frequently use the "investment contract" analysis to determine whether unique or novel instruments or arrangements, such as digital assets, are securities subject to the federal securities laws”.</w:t>
      </w:r>
      <w:r w:rsidRPr="00A13120">
        <w:rPr>
          <w:vertAlign w:val="superscript"/>
        </w:rPr>
        <w:footnoteReference w:id="81"/>
      </w:r>
      <w:r w:rsidRPr="00A13120">
        <w:t xml:space="preserve"> The </w:t>
      </w:r>
      <w:r>
        <w:t xml:space="preserve">guidance explains how the SEC analyzes what it says are the three </w:t>
      </w:r>
      <w:r>
        <w:rPr>
          <w:i/>
        </w:rPr>
        <w:t>Howey</w:t>
      </w:r>
      <w:r>
        <w:t xml:space="preserve"> test elements for digital assets. </w:t>
      </w:r>
    </w:p>
    <w:p w14:paraId="0369CB21" w14:textId="62DFD672" w:rsidR="0027130A" w:rsidRDefault="0027130A" w:rsidP="00D30067">
      <w:pPr>
        <w:spacing w:line="480" w:lineRule="auto"/>
        <w:ind w:firstLine="720"/>
      </w:pPr>
      <w:r>
        <w:t xml:space="preserve">While this action by the SEC may do damage to Ripple, it will most likely not have a larger effect on XRP </w:t>
      </w:r>
      <w:r w:rsidR="00302830">
        <w:t xml:space="preserve">and </w:t>
      </w:r>
      <w:r>
        <w:t xml:space="preserve">the crypto industry as a whole. The SEC does not ask the court to declare XRP as a security, a question most in the </w:t>
      </w:r>
      <w:r w:rsidR="00302830">
        <w:t xml:space="preserve">industry </w:t>
      </w:r>
      <w:r>
        <w:t>speculated would occur. Instead, the Complaint focuses on the alleged violations of Ripple, Garlinghouse, and Larsen. As a result, this case will most likely result in a fine, instead of needed regulatory clarity.</w:t>
      </w:r>
      <w:r w:rsidR="00AD2024">
        <w:rPr>
          <w:rStyle w:val="FootnoteReference"/>
        </w:rPr>
        <w:footnoteReference w:id="82"/>
      </w:r>
      <w:r>
        <w:t xml:space="preserve"> </w:t>
      </w:r>
      <w:r w:rsidR="004662E6">
        <w:t>T</w:t>
      </w:r>
      <w:r>
        <w:t xml:space="preserve">his case represents a significant step </w:t>
      </w:r>
      <w:r w:rsidR="004662E6">
        <w:t>by securities regulators</w:t>
      </w:r>
      <w:r>
        <w:t xml:space="preserve"> in the U.S. </w:t>
      </w:r>
      <w:r w:rsidR="004662E6">
        <w:t>and highlights</w:t>
      </w:r>
      <w:r>
        <w:t xml:space="preserve"> the necessity for legislation from Congress and further governmental agency guidance. </w:t>
      </w:r>
    </w:p>
    <w:p w14:paraId="7E12A825" w14:textId="76F2122D" w:rsidR="00310E5E" w:rsidRDefault="00A87E37" w:rsidP="00310E5E">
      <w:pPr>
        <w:pStyle w:val="ListParagraph"/>
        <w:numPr>
          <w:ilvl w:val="1"/>
          <w:numId w:val="3"/>
        </w:numPr>
        <w:rPr>
          <w:b/>
        </w:rPr>
      </w:pPr>
      <w:r w:rsidRPr="00D30067">
        <w:rPr>
          <w:b/>
        </w:rPr>
        <w:lastRenderedPageBreak/>
        <w:t xml:space="preserve">HOWEY TEST APPLIED: </w:t>
      </w:r>
      <w:r>
        <w:rPr>
          <w:b/>
        </w:rPr>
        <w:t>RIPPLE (XRP)</w:t>
      </w:r>
    </w:p>
    <w:p w14:paraId="4B183F5D" w14:textId="77777777" w:rsidR="00310E5E" w:rsidRDefault="00310E5E" w:rsidP="00310E5E">
      <w:pPr>
        <w:pStyle w:val="ListParagraph"/>
        <w:ind w:left="1440"/>
        <w:rPr>
          <w:b/>
        </w:rPr>
      </w:pPr>
    </w:p>
    <w:p w14:paraId="79178797" w14:textId="79E10657" w:rsidR="00310E5E" w:rsidRPr="000A3166" w:rsidRDefault="00310E5E" w:rsidP="00310E5E">
      <w:pPr>
        <w:pStyle w:val="ListParagraph"/>
        <w:numPr>
          <w:ilvl w:val="2"/>
          <w:numId w:val="3"/>
        </w:numPr>
        <w:rPr>
          <w:b/>
        </w:rPr>
      </w:pPr>
      <w:r w:rsidRPr="00310E5E">
        <w:rPr>
          <w:b/>
          <w:bCs/>
        </w:rPr>
        <w:t>Background: Ripple and XRP</w:t>
      </w:r>
    </w:p>
    <w:p w14:paraId="48BD3423" w14:textId="780469B4" w:rsidR="000A3166" w:rsidRDefault="000A3166" w:rsidP="000A3166">
      <w:pPr>
        <w:rPr>
          <w:b/>
        </w:rPr>
      </w:pPr>
    </w:p>
    <w:p w14:paraId="386FE370" w14:textId="77777777" w:rsidR="000A3166" w:rsidRDefault="000A3166" w:rsidP="000A3166">
      <w:pPr>
        <w:spacing w:line="480" w:lineRule="auto"/>
        <w:ind w:firstLine="720"/>
      </w:pPr>
      <w:r>
        <w:t>In 2012, Mr. Larsen and two others (not named in the Complaint) created Ripple Labs Inc. to develop a software code known as the “XRP Ledger”.</w:t>
      </w:r>
      <w:r>
        <w:rPr>
          <w:rStyle w:val="FootnoteReference"/>
        </w:rPr>
        <w:footnoteReference w:id="83"/>
      </w:r>
      <w:r>
        <w:t xml:space="preserve"> The XRP ledger runs on a peer-to-peer network. XRP is a digital asset; issued and transferred on the XRP ledger. This type of digital asset, also known as a digital token, is “native” to the ledger because it is represented on the XRP ledger. The XRP token is meant to serve as On-Demand Liquidity for international payments, eliminating the need to convert one currency into another to make a purchase. </w:t>
      </w:r>
      <w:r>
        <w:rPr>
          <w:rStyle w:val="FootnoteReference"/>
        </w:rPr>
        <w:footnoteReference w:id="84"/>
      </w:r>
      <w:r>
        <w:t xml:space="preserve"> </w:t>
      </w:r>
    </w:p>
    <w:p w14:paraId="377504EC" w14:textId="7840ADD4" w:rsidR="000A3166" w:rsidRDefault="000A3166" w:rsidP="000A3166">
      <w:pPr>
        <w:spacing w:line="480" w:lineRule="auto"/>
        <w:ind w:firstLine="720"/>
      </w:pPr>
      <w:r>
        <w:t>When Ripple first deployed the XRP Ledger</w:t>
      </w:r>
      <w:r w:rsidR="004662E6">
        <w:t>,</w:t>
      </w:r>
      <w:r>
        <w:t xml:space="preserve"> </w:t>
      </w:r>
      <w:r w:rsidR="004662E6">
        <w:t xml:space="preserve">it </w:t>
      </w:r>
      <w:r>
        <w:t xml:space="preserve">created 100 billion XRP tokens and transferred 80 billion to itself, 9 billion to Co-founder and Mr. Larsen each, and 2 billion to </w:t>
      </w:r>
      <w:r w:rsidR="004662E6">
        <w:t xml:space="preserve">an individual labeled in the complaint as </w:t>
      </w:r>
      <w:r>
        <w:t xml:space="preserve">Ripple Agent-1. Unlike other cryptocurrencies such as Bitcoin or Ethereum, only Ripple and its agents owned 100% of the existing XRP tokens. </w:t>
      </w:r>
    </w:p>
    <w:p w14:paraId="1F4AA548" w14:textId="77777777" w:rsidR="000A3166" w:rsidRDefault="000A3166" w:rsidP="000A3166">
      <w:pPr>
        <w:spacing w:line="480" w:lineRule="auto"/>
        <w:ind w:firstLine="720"/>
      </w:pPr>
      <w:r w:rsidRPr="004D2847">
        <w:rPr>
          <w:i/>
          <w:iCs/>
        </w:rPr>
        <w:t>XRP validation</w:t>
      </w:r>
    </w:p>
    <w:p w14:paraId="0DB382F1" w14:textId="77777777" w:rsidR="000A3166" w:rsidRDefault="000A3166" w:rsidP="000A3166">
      <w:pPr>
        <w:spacing w:line="480" w:lineRule="auto"/>
        <w:ind w:firstLine="720"/>
      </w:pPr>
      <w:r>
        <w:t xml:space="preserve">The XRP Ledger is “peer-to-peer” because each member is a peer to the other. No one peer in the network has greater authority over the ledger than any other. Every time a peer makes a change to the ledger, such as recording the sale of a token, they send the ledger with the changes made to the other peers so the updated ledger can be verified by other peers. To confirm the change, other peers must reach consensus about which changes are valid. </w:t>
      </w:r>
    </w:p>
    <w:p w14:paraId="3AB30B7A" w14:textId="77777777" w:rsidR="000A3166" w:rsidRDefault="000A3166" w:rsidP="000A3166">
      <w:pPr>
        <w:spacing w:line="480" w:lineRule="auto"/>
        <w:ind w:firstLine="720"/>
      </w:pPr>
      <w:r>
        <w:t xml:space="preserve">The XRP ledger software includes a validation protocol to determine how peers will validate the changes to the ledger. XRP uses a specialized consensus method; only giving the authority to validate changes to a select group of peers in the network. When a peer makes a change to the ledger, they send it out to the other peers to validate, i.e., a “transaction”. Those validating peers take in multiple transactions at a time and place </w:t>
      </w:r>
      <w:r>
        <w:lastRenderedPageBreak/>
        <w:t xml:space="preserve">them in a cue, or the “candidate set”, to await validation. Each validating peer keeps its own Unique Node List, which is the list of peers it trusts to only send it valid transactions. </w:t>
      </w:r>
    </w:p>
    <w:p w14:paraId="5C580976" w14:textId="4A1543A1" w:rsidR="000A3166" w:rsidRPr="000A3166" w:rsidRDefault="000A3166" w:rsidP="000A3166">
      <w:pPr>
        <w:spacing w:line="480" w:lineRule="auto"/>
        <w:ind w:firstLine="720"/>
      </w:pPr>
      <w:r>
        <w:t xml:space="preserve">Simultaneously, the validating peer receives transactions in the candidate set, and proposals come from other peers in the network, which are groups of transactions another peer validated. Proposals must come from a peer on the validating peers Unique Node List, </w:t>
      </w:r>
      <w:r w:rsidRPr="004D2847">
        <w:rPr>
          <w:i/>
          <w:iCs/>
        </w:rPr>
        <w:t>otherwise the proposal is ignored</w:t>
      </w:r>
      <w:r>
        <w:t xml:space="preserve">. Transactions in the validating peer’s candidate set are compared to the proposals it received from its trusted peers. Once the trusted peers agree a transaction is valid, it  is added to the ledger. </w:t>
      </w:r>
    </w:p>
    <w:p w14:paraId="19AF6C78" w14:textId="6AE7AF0E" w:rsidR="000A3166" w:rsidRPr="00310E5E" w:rsidRDefault="000A3166" w:rsidP="00310E5E">
      <w:pPr>
        <w:pStyle w:val="ListParagraph"/>
        <w:numPr>
          <w:ilvl w:val="2"/>
          <w:numId w:val="3"/>
        </w:numPr>
        <w:rPr>
          <w:b/>
        </w:rPr>
      </w:pPr>
      <w:r>
        <w:rPr>
          <w:b/>
        </w:rPr>
        <w:t>Application</w:t>
      </w:r>
    </w:p>
    <w:p w14:paraId="4984BBD8" w14:textId="77777777" w:rsidR="00310E5E" w:rsidRDefault="00310E5E" w:rsidP="00310E5E"/>
    <w:p w14:paraId="669EE5CB" w14:textId="77777777" w:rsidR="000A3166" w:rsidRDefault="000A3166" w:rsidP="000A3166">
      <w:pPr>
        <w:spacing w:line="480" w:lineRule="auto"/>
        <w:ind w:firstLine="720"/>
      </w:pPr>
      <w:bookmarkStart w:id="1" w:name="_Hlk63252159"/>
      <w:r>
        <w:t>As stated above, t</w:t>
      </w:r>
      <w:r w:rsidR="00310E5E">
        <w:t xml:space="preserve">his </w:t>
      </w:r>
      <w:r w:rsidRPr="00A13120">
        <w:rPr>
          <w:i/>
        </w:rPr>
        <w:t>Howey</w:t>
      </w:r>
      <w:r>
        <w:t xml:space="preserve"> </w:t>
      </w:r>
      <w:r w:rsidR="00310E5E">
        <w:t xml:space="preserve">test contains four elements; (1) an investment of money, (2) in a common enterprise, (3) with profits to come (4) solely from the efforts of others. If a contract meets </w:t>
      </w:r>
      <w:r w:rsidR="00310E5E" w:rsidRPr="00F62638">
        <w:rPr>
          <w:u w:val="single"/>
        </w:rPr>
        <w:t>all</w:t>
      </w:r>
      <w:r w:rsidR="00310E5E">
        <w:t xml:space="preserve"> of these elements, it is an investment contract, and falls within the Section 2(a)(1) definition of a security. However, because digital assets are a novel technology and constantly developing, determining whether a digital asset meets the </w:t>
      </w:r>
      <w:r w:rsidR="00310E5E">
        <w:rPr>
          <w:i/>
        </w:rPr>
        <w:t>Howey</w:t>
      </w:r>
      <w:r w:rsidR="00310E5E">
        <w:t xml:space="preserve"> test can be difficult. </w:t>
      </w:r>
      <w:bookmarkEnd w:id="1"/>
    </w:p>
    <w:p w14:paraId="7C772B15" w14:textId="77777777" w:rsidR="00310E5E" w:rsidRPr="004D2847" w:rsidRDefault="00310E5E" w:rsidP="00310E5E">
      <w:pPr>
        <w:pStyle w:val="ListParagraph"/>
        <w:numPr>
          <w:ilvl w:val="0"/>
          <w:numId w:val="20"/>
        </w:numPr>
        <w:spacing w:line="480" w:lineRule="auto"/>
        <w:rPr>
          <w:i/>
          <w:iCs/>
        </w:rPr>
      </w:pPr>
      <w:r>
        <w:rPr>
          <w:i/>
          <w:iCs/>
        </w:rPr>
        <w:t>Investment of Money</w:t>
      </w:r>
    </w:p>
    <w:p w14:paraId="1BB31557" w14:textId="59D60198" w:rsidR="00310E5E" w:rsidRDefault="00310E5E" w:rsidP="00BD2CC6">
      <w:pPr>
        <w:spacing w:line="480" w:lineRule="auto"/>
        <w:ind w:firstLine="720"/>
      </w:pPr>
      <w:bookmarkStart w:id="2" w:name="_Hlk63252415"/>
      <w:r>
        <w:t xml:space="preserve">The first element </w:t>
      </w:r>
      <w:r w:rsidR="004662E6">
        <w:t>prong of the test requires</w:t>
      </w:r>
      <w:r>
        <w:t xml:space="preserve"> an investment of money. The guidance states that typically a digital asset meets this element because investors purchase or exchange valuable consideration for the asset.</w:t>
      </w:r>
      <w:bookmarkEnd w:id="2"/>
      <w:r>
        <w:t xml:space="preserve"> The Complaint states Ripple sold at least 3.9 billion XRP through Market Sales and 4.9 billion through institutional sales from 2013 to 2020.</w:t>
      </w:r>
      <w:r>
        <w:rPr>
          <w:rStyle w:val="FootnoteReference"/>
        </w:rPr>
        <w:footnoteReference w:id="85"/>
      </w:r>
      <w:r>
        <w:t xml:space="preserve"> These sales generated at least $1.3 billion for Ripple. The Complaint also alleges Ripple traded XRP for non-cash consideration as well, such as labor and market-making services, which the Complaint alleges was worth at least $500 million.</w:t>
      </w:r>
      <w:r>
        <w:rPr>
          <w:rStyle w:val="FootnoteReference"/>
        </w:rPr>
        <w:footnoteReference w:id="86"/>
      </w:r>
      <w:r>
        <w:t xml:space="preserve"> As a result, Ripple most likely exchanged XRP for valuable consideration, satisfying the first element of the </w:t>
      </w:r>
      <w:r>
        <w:rPr>
          <w:i/>
          <w:iCs/>
        </w:rPr>
        <w:t>Howey</w:t>
      </w:r>
      <w:r>
        <w:t xml:space="preserve"> test. </w:t>
      </w:r>
    </w:p>
    <w:p w14:paraId="4046679A" w14:textId="23A98A5F" w:rsidR="00310E5E" w:rsidRPr="004D2847" w:rsidRDefault="00310E5E" w:rsidP="00310E5E">
      <w:pPr>
        <w:pStyle w:val="ListParagraph"/>
        <w:numPr>
          <w:ilvl w:val="0"/>
          <w:numId w:val="20"/>
        </w:numPr>
        <w:spacing w:line="480" w:lineRule="auto"/>
        <w:rPr>
          <w:i/>
          <w:iCs/>
        </w:rPr>
      </w:pPr>
      <w:r w:rsidRPr="004D2847">
        <w:rPr>
          <w:i/>
          <w:iCs/>
        </w:rPr>
        <w:t>Common Enterprise</w:t>
      </w:r>
    </w:p>
    <w:p w14:paraId="4E577D87" w14:textId="77777777" w:rsidR="001414CD" w:rsidRDefault="00310E5E" w:rsidP="001414CD">
      <w:pPr>
        <w:spacing w:line="480" w:lineRule="auto"/>
        <w:ind w:firstLine="720"/>
      </w:pPr>
      <w:bookmarkStart w:id="3" w:name="_Hlk63252432"/>
      <w:r>
        <w:lastRenderedPageBreak/>
        <w:t xml:space="preserve">The second element requires the investment be made in a common enterprise. The guidance says the SEC finds a common enterprise “typically exists” because the </w:t>
      </w:r>
      <w:r w:rsidRPr="0031627D">
        <w:t xml:space="preserve">fortunes of digital asset purchasers </w:t>
      </w:r>
      <w:r>
        <w:t>are often</w:t>
      </w:r>
      <w:r w:rsidRPr="0031627D">
        <w:t xml:space="preserve"> linked to each other or to the success of the </w:t>
      </w:r>
      <w:r>
        <w:t>issuer</w:t>
      </w:r>
      <w:r w:rsidRPr="0031627D">
        <w:t>.</w:t>
      </w:r>
      <w:r>
        <w:rPr>
          <w:rStyle w:val="FootnoteReference"/>
        </w:rPr>
        <w:footnoteReference w:id="87"/>
      </w:r>
      <w:r w:rsidRPr="0031627D" w:rsidDel="003A2788">
        <w:t xml:space="preserve"> </w:t>
      </w:r>
      <w:r>
        <w:t xml:space="preserve">For example, in the case </w:t>
      </w:r>
      <w:r>
        <w:rPr>
          <w:i/>
          <w:iCs/>
        </w:rPr>
        <w:t xml:space="preserve">SEC v. Kik Initiative, </w:t>
      </w:r>
      <w:r w:rsidRPr="004D2847">
        <w:t>Inc</w:t>
      </w:r>
      <w:r>
        <w:t xml:space="preserve">., the court found there was a common enterprise between the purchasers of the Kin token and the seller, Kik Initiative Inc. (“Kik”). Kik developed a blockchain based messaging service in 2009. The messaging service was not generating revenue, so Kik decided to raise money by selling its native “Kin” token. The SEC brought an enforcement action against Kik for the unregistered sale of a security. The court agreed with the SEC that Kik’s offer and sale of the token was an investment contract and therefore subject to SEC regulation. When considering the common enterprise element of </w:t>
      </w:r>
      <w:r w:rsidRPr="002B4AB2">
        <w:rPr>
          <w:i/>
          <w:iCs/>
        </w:rPr>
        <w:t>Howey</w:t>
      </w:r>
      <w:r>
        <w:t>, t</w:t>
      </w:r>
      <w:r w:rsidRPr="00E07E44">
        <w:t>he</w:t>
      </w:r>
      <w:r>
        <w:t xml:space="preserve"> court found horizontal commonality, or the “tying of each individual investor's fortunes to the fortunes of the other investors by the pooling of assets, usually combined with the pro-rata distribution of profits…”</w:t>
      </w:r>
      <w:r w:rsidRPr="00E07E44">
        <w:t xml:space="preserve"> </w:t>
      </w:r>
      <w:r>
        <w:t xml:space="preserve">between the purchasers of the Kin tokens. </w:t>
      </w:r>
      <w:r>
        <w:rPr>
          <w:rStyle w:val="FootnoteReference"/>
        </w:rPr>
        <w:footnoteReference w:id="88"/>
      </w:r>
      <w:bookmarkEnd w:id="3"/>
    </w:p>
    <w:p w14:paraId="79A94031" w14:textId="30E4A33F" w:rsidR="00310E5E" w:rsidRDefault="00310E5E" w:rsidP="001414CD">
      <w:pPr>
        <w:spacing w:line="480" w:lineRule="auto"/>
        <w:ind w:firstLine="720"/>
      </w:pPr>
      <w:r w:rsidRPr="0031627D">
        <w:t>The</w:t>
      </w:r>
      <w:r>
        <w:t xml:space="preserve"> Complaint alleges that because XRP is fungible, the fortunes of those who purchased XRP from Ripple were tied to each other and depended on the success of Ripples strategy to increase XRP’s value and create profit for all XRP holders equally.</w:t>
      </w:r>
      <w:r>
        <w:rPr>
          <w:rStyle w:val="FootnoteReference"/>
        </w:rPr>
        <w:footnoteReference w:id="89"/>
      </w:r>
      <w:r>
        <w:t xml:space="preserve"> The SEC also alleges Ripple pooled funds it raised from selling XRP to pay for Ripple’s operations. This shows horizontal commonality. </w:t>
      </w:r>
    </w:p>
    <w:p w14:paraId="6D1096F4" w14:textId="77777777" w:rsidR="00310E5E" w:rsidRPr="004D2847" w:rsidRDefault="00310E5E" w:rsidP="00310E5E">
      <w:pPr>
        <w:pStyle w:val="ListParagraph"/>
        <w:numPr>
          <w:ilvl w:val="0"/>
          <w:numId w:val="20"/>
        </w:numPr>
        <w:spacing w:line="480" w:lineRule="auto"/>
        <w:rPr>
          <w:i/>
          <w:iCs/>
        </w:rPr>
      </w:pPr>
      <w:r w:rsidRPr="004D2847">
        <w:rPr>
          <w:i/>
          <w:iCs/>
        </w:rPr>
        <w:t>Reasonable Expectation of Profits Derived from Efforts of Others</w:t>
      </w:r>
    </w:p>
    <w:p w14:paraId="777E4D32" w14:textId="08FA5BCC" w:rsidR="001414CD" w:rsidRDefault="00310E5E" w:rsidP="001414CD">
      <w:pPr>
        <w:spacing w:line="480" w:lineRule="auto"/>
        <w:ind w:firstLine="720"/>
      </w:pPr>
      <w:bookmarkStart w:id="4" w:name="_Hlk63252597"/>
      <w:r>
        <w:t>The third element requires the investors must have expected profits to come solely from the efforts of others.</w:t>
      </w:r>
      <w:r w:rsidR="00BD2CC6">
        <w:rPr>
          <w:rStyle w:val="FootnoteReference"/>
        </w:rPr>
        <w:footnoteReference w:id="90"/>
      </w:r>
      <w:r>
        <w:t xml:space="preserve"> The SEC guidance explains an investor might expect a return through many avenues, like distributions or the appreciation of the asset. When investors expect these profits to come from the managerial or entrepreneurial efforts of others, and also considering other “economic realities”, a digital asset will meet the third element of the </w:t>
      </w:r>
      <w:r w:rsidRPr="009F3800">
        <w:rPr>
          <w:i/>
        </w:rPr>
        <w:t>Howey</w:t>
      </w:r>
      <w:r>
        <w:rPr>
          <w:iCs/>
        </w:rPr>
        <w:t xml:space="preserve"> test</w:t>
      </w:r>
      <w:r>
        <w:t xml:space="preserve">. The guidance breaks this element into three characteristics; (1) reliance on the efforts of others, (2) reasonable expectation of profits, and (3) other relevant considerations. </w:t>
      </w:r>
      <w:bookmarkEnd w:id="4"/>
    </w:p>
    <w:p w14:paraId="0BDA1A34" w14:textId="77777777" w:rsidR="001414CD" w:rsidRDefault="00310E5E" w:rsidP="001414CD">
      <w:pPr>
        <w:spacing w:line="480" w:lineRule="auto"/>
        <w:ind w:firstLine="720"/>
      </w:pPr>
      <w:r>
        <w:lastRenderedPageBreak/>
        <w:t xml:space="preserve">The Complaint alleges that due to </w:t>
      </w:r>
      <w:r w:rsidRPr="00494292">
        <w:t>Ripple’s</w:t>
      </w:r>
      <w:r>
        <w:t xml:space="preserve"> </w:t>
      </w:r>
      <w:r w:rsidRPr="00494292">
        <w:t>actions, and the economic reality</w:t>
      </w:r>
      <w:r>
        <w:t xml:space="preserve"> surrounding them</w:t>
      </w:r>
      <w:r w:rsidRPr="00494292">
        <w:t xml:space="preserve">, </w:t>
      </w:r>
      <w:r>
        <w:t>“…</w:t>
      </w:r>
      <w:r w:rsidRPr="00494292">
        <w:t>XRP investors</w:t>
      </w:r>
      <w:r>
        <w:t>…</w:t>
      </w:r>
      <w:r w:rsidRPr="00494292">
        <w:t xml:space="preserve"> had a reasonable expectation of profiting from Ripple’s efforts to deploy investor funds to create a use for XRP and bring demand and value to their common enterprise</w:t>
      </w:r>
      <w:r>
        <w:t>”</w:t>
      </w:r>
      <w:r w:rsidRPr="00494292">
        <w:t>.</w:t>
      </w:r>
      <w:r>
        <w:rPr>
          <w:rStyle w:val="FootnoteReference"/>
        </w:rPr>
        <w:footnoteReference w:id="91"/>
      </w:r>
      <w:r>
        <w:t xml:space="preserve"> The efforts the SEC claims Ripple made are “</w:t>
      </w:r>
      <w:r w:rsidRPr="00507957">
        <w:t>(1) using algorithms to time the amount and</w:t>
      </w:r>
      <w:r>
        <w:t xml:space="preserve"> price </w:t>
      </w:r>
      <w:r w:rsidRPr="00507957">
        <w:t>of Defendants’ XRP sales into the market; (2) paying incentives to certain market makers—some of which Ripple engaged to effect the Market Sales—if the sales reach certain trading volume levels on XRP; and (3) paying digital asset trading platforms to permit XRP trading</w:t>
      </w:r>
      <w:r>
        <w:t>”.</w:t>
      </w:r>
      <w:r>
        <w:rPr>
          <w:rStyle w:val="FootnoteReference"/>
        </w:rPr>
        <w:footnoteReference w:id="92"/>
      </w:r>
      <w:r>
        <w:t xml:space="preserve"> </w:t>
      </w:r>
    </w:p>
    <w:p w14:paraId="3C962C51" w14:textId="20BB1514" w:rsidR="001414CD" w:rsidRDefault="00310E5E" w:rsidP="0040665F">
      <w:pPr>
        <w:spacing w:line="480" w:lineRule="auto"/>
        <w:ind w:firstLine="720"/>
      </w:pPr>
      <w:r>
        <w:t>Even though Ripple’s stated use of XRP is On Demand Liquidity, the SEC argues the value of XRP for On Demand Liquidity was not market driven, but subsidized by Ripple.</w:t>
      </w:r>
      <w:r>
        <w:rPr>
          <w:rStyle w:val="FootnoteReference"/>
        </w:rPr>
        <w:footnoteReference w:id="93"/>
      </w:r>
      <w:r>
        <w:t xml:space="preserve"> The Complaint alleges Ripple promised to undertake significant efforts to develop and foster uses for XRP, as well as efforts to create, maintain, and protect secondary resale markets for XRP. According to the SEC, purchasers of XRP relied on Ripple’s efforts to create uses and secondary markets for XRP so the value of the token would appreciate, generating profit for the purchasers solely by Ripple’s efforts. </w:t>
      </w:r>
      <w:r w:rsidR="00A8327B" w:rsidRPr="009358D4">
        <w:t xml:space="preserve">In the Eleventh Circuit’s analysis of whether certain transactions met this prong of the </w:t>
      </w:r>
      <w:r w:rsidR="00A8327B" w:rsidRPr="009358D4">
        <w:rPr>
          <w:i/>
        </w:rPr>
        <w:t xml:space="preserve">Howey </w:t>
      </w:r>
      <w:r w:rsidR="00A8327B" w:rsidRPr="009358D4">
        <w:t xml:space="preserve">test, the Court interpreted </w:t>
      </w:r>
      <w:r w:rsidR="00A8327B" w:rsidRPr="009358D4">
        <w:rPr>
          <w:i/>
        </w:rPr>
        <w:t>Forman</w:t>
      </w:r>
      <w:r w:rsidR="00A8327B" w:rsidRPr="009358D4">
        <w:t xml:space="preserve"> to determine that profits “require either a participation in earnings by the investor or capital appreciation.”</w:t>
      </w:r>
      <w:r w:rsidR="00A8327B" w:rsidRPr="009358D4">
        <w:rPr>
          <w:rStyle w:val="FootnoteReference"/>
        </w:rPr>
        <w:footnoteReference w:id="94"/>
      </w:r>
      <w:r w:rsidR="00A8327B" w:rsidRPr="009358D4">
        <w:t xml:space="preserve"> Therefore, no expectation of profits exists where</w:t>
      </w:r>
      <w:r w:rsidR="00A8327B">
        <w:t xml:space="preserve"> </w:t>
      </w:r>
      <w:r w:rsidR="00A8327B" w:rsidRPr="009358D4">
        <w:t xml:space="preserve">no capital appreciation or participation in earnings exists for investors. </w:t>
      </w:r>
    </w:p>
    <w:p w14:paraId="592BC138" w14:textId="77777777" w:rsidR="00A8327B" w:rsidRDefault="00310E5E" w:rsidP="00A8327B">
      <w:pPr>
        <w:spacing w:line="480" w:lineRule="auto"/>
        <w:ind w:firstLine="720"/>
      </w:pPr>
      <w:r>
        <w:t xml:space="preserve">The Complaint further alleges that “economic realities” made it impossible for anyone </w:t>
      </w:r>
      <w:r w:rsidRPr="004D2847">
        <w:rPr>
          <w:i/>
          <w:iCs/>
        </w:rPr>
        <w:t>but</w:t>
      </w:r>
      <w:r>
        <w:t xml:space="preserve"> Ripple to build value for XRP.</w:t>
      </w:r>
      <w:r>
        <w:rPr>
          <w:rStyle w:val="FootnoteReference"/>
        </w:rPr>
        <w:footnoteReference w:id="95"/>
      </w:r>
      <w:r>
        <w:t xml:space="preserve"> Most, if not all, XRP investors lacked the technical expertise and the resources to grow the XRP ecosystem and increase demand for XRP. After analyzing the third element of the </w:t>
      </w:r>
      <w:r>
        <w:rPr>
          <w:i/>
          <w:iCs/>
        </w:rPr>
        <w:t>Howey</w:t>
      </w:r>
      <w:r>
        <w:t xml:space="preserve"> test by the SEC guidance, the Complaint concludes XRP meets the final element of the test and should be defined as an investment contract under §2(a)(1). </w:t>
      </w:r>
    </w:p>
    <w:p w14:paraId="789890DD" w14:textId="77777777" w:rsidR="00A8327B" w:rsidRDefault="00310E5E" w:rsidP="00A8327B">
      <w:pPr>
        <w:spacing w:line="480" w:lineRule="auto"/>
        <w:ind w:firstLine="720"/>
      </w:pPr>
      <w:r>
        <w:lastRenderedPageBreak/>
        <w:t xml:space="preserve">The SEC asks the court to enjoin the Defendants, Ripple, Garlinghouse, and Larsen from further violations of the Securities Act through the following steps: (1) delivering XRP or taking steps to offer or sell XRP; (2) to prohibit defendants from participating in any offering of digital asset securities; (3) paying civil money penalties, and (4) disgorging all gains from the illegal sales of XRP. </w:t>
      </w:r>
    </w:p>
    <w:p w14:paraId="4A4720E2" w14:textId="77777777" w:rsidR="00A8327B" w:rsidRDefault="00310E5E" w:rsidP="00A8327B">
      <w:pPr>
        <w:spacing w:line="480" w:lineRule="auto"/>
        <w:ind w:firstLine="720"/>
      </w:pPr>
      <w:r>
        <w:t xml:space="preserve">If the court grants the first prayer for relief, to enjoin the defendants from selling XRP, it would only mean Ripple, along with Garlinghouse and Larsen, can no longer sell XRP tokens without registering the sale with the SEC. Ripple could still maintain the XRP ledger and XRP tokens could still be used for On Demand Liquidity. Disgorgement would force the defendants to give back the money they received selling XRP. This would amount to $1.3 billion from Ripple, and approximately $600 million from both Garlinghouse and Larsen. The SEC has chosen not to ask for a declaratory judgment regarding whether XRP is a security. The SEC is only seeking to stop Ripple, Garlinghouse, and Larsen from selling XRP </w:t>
      </w:r>
      <w:r>
        <w:rPr>
          <w:i/>
          <w:iCs/>
        </w:rPr>
        <w:t xml:space="preserve">as </w:t>
      </w:r>
      <w:r>
        <w:t>a security in Ripple without registering the sale. This means Holders could still use XRP for its intended use.</w:t>
      </w:r>
    </w:p>
    <w:p w14:paraId="6E40B739" w14:textId="43C1F2F4" w:rsidR="00A8327B" w:rsidRDefault="00310E5E" w:rsidP="00A8327B">
      <w:pPr>
        <w:spacing w:line="480" w:lineRule="auto"/>
        <w:ind w:firstLine="720"/>
      </w:pPr>
      <w:r>
        <w:t xml:space="preserve">Regardless of the final ruling, the Complaint has already had a significant effect on XRP.  The day after the news the SEC filed the Complaint the </w:t>
      </w:r>
      <w:r w:rsidRPr="004D2847">
        <w:t>value of XRP dropped more than 20%</w:t>
      </w:r>
      <w:r>
        <w:t>.</w:t>
      </w:r>
      <w:r>
        <w:rPr>
          <w:rStyle w:val="FootnoteReference"/>
        </w:rPr>
        <w:footnoteReference w:id="96"/>
      </w:r>
      <w:r>
        <w:t xml:space="preserve"> In fear that XRP might be a security, crypto exchanges like </w:t>
      </w:r>
      <w:r w:rsidRPr="004D2847">
        <w:t>Coinbase</w:t>
      </w:r>
      <w:r>
        <w:t xml:space="preserve"> began to delist XRP as well.</w:t>
      </w:r>
      <w:r>
        <w:rPr>
          <w:rStyle w:val="FootnoteReference"/>
        </w:rPr>
        <w:footnoteReference w:id="97"/>
      </w:r>
      <w:r>
        <w:t xml:space="preserve"> Subsequent lawsuits were filed against Ripple for selling an unregistered security. Tetragon, a Ripple shareholder, filed in Delaware to compel</w:t>
      </w:r>
      <w:r w:rsidRPr="004D2847">
        <w:t xml:space="preserve"> Ripple to redeem</w:t>
      </w:r>
      <w:r>
        <w:t xml:space="preserve"> its stock in the company.</w:t>
      </w:r>
      <w:r>
        <w:rPr>
          <w:rStyle w:val="FootnoteReference"/>
        </w:rPr>
        <w:footnoteReference w:id="98"/>
      </w:r>
      <w:r>
        <w:t xml:space="preserve"> </w:t>
      </w:r>
    </w:p>
    <w:p w14:paraId="02924E31" w14:textId="055FBFFA" w:rsidR="00A8327B" w:rsidRDefault="00A8327B" w:rsidP="0040665F">
      <w:pPr>
        <w:ind w:firstLine="720"/>
        <w:rPr>
          <w:i/>
          <w:iCs/>
        </w:rPr>
      </w:pPr>
      <w:r>
        <w:rPr>
          <w:i/>
          <w:iCs/>
        </w:rPr>
        <w:t>What does this mean for crypto?</w:t>
      </w:r>
    </w:p>
    <w:p w14:paraId="4554916B" w14:textId="77777777" w:rsidR="00A8327B" w:rsidRPr="00A8327B" w:rsidRDefault="00A8327B" w:rsidP="00A8327B">
      <w:pPr>
        <w:rPr>
          <w:i/>
          <w:iCs/>
        </w:rPr>
      </w:pPr>
    </w:p>
    <w:p w14:paraId="7A40993C" w14:textId="503A8D38" w:rsidR="00A8327B" w:rsidRDefault="00310E5E" w:rsidP="00A8327B">
      <w:pPr>
        <w:spacing w:line="480" w:lineRule="auto"/>
        <w:ind w:firstLine="720"/>
      </w:pPr>
      <w:r>
        <w:t>In the Complaint, the SEC focused a great deal on the substance rather than the form of Ripple</w:t>
      </w:r>
      <w:r w:rsidR="00734397">
        <w:t>’s</w:t>
      </w:r>
      <w:r>
        <w:t xml:space="preserve"> distribution of XRP, looking into the economics of the sales, the actions by the defendants to create value for XRP, and the legitimate use of the token. The SEC may come after other U.S. based companies who created a </w:t>
      </w:r>
      <w:r>
        <w:lastRenderedPageBreak/>
        <w:t xml:space="preserve">distributed ledger and sold the native tokens in the same manner as Ripple, but this would be on a case-by-case basis. </w:t>
      </w:r>
    </w:p>
    <w:p w14:paraId="0DD99CE8" w14:textId="3A2E36EE" w:rsidR="00A8327B" w:rsidRDefault="00310E5E" w:rsidP="00A8327B">
      <w:pPr>
        <w:spacing w:line="480" w:lineRule="auto"/>
        <w:ind w:firstLine="720"/>
      </w:pPr>
      <w:r>
        <w:t>For example, Ripple and XRP are distinct from Bitcoin and Ethereum, with XRP being more “centralized” in that only a small group controlled XRP when Ripple began to initially distribute the token</w:t>
      </w:r>
      <w:r w:rsidR="00734397">
        <w:t xml:space="preserve">. </w:t>
      </w:r>
      <w:proofErr w:type="spellStart"/>
      <w:r w:rsidR="00734397">
        <w:t>Additionally,</w:t>
      </w:r>
      <w:r>
        <w:t>according</w:t>
      </w:r>
      <w:proofErr w:type="spellEnd"/>
      <w:r>
        <w:t xml:space="preserve"> to the SEC, </w:t>
      </w:r>
      <w:r w:rsidRPr="00A6196A">
        <w:t xml:space="preserve">Ripple focused on increasing value over market adoption of </w:t>
      </w:r>
      <w:r>
        <w:t xml:space="preserve">XRP Ledger and may have been manipulating markets. The SEC is not looking for the court to declare XRP as a security and destroy its use for On Demand Liquidity. Instead, the court is going to determine the best way to prohibit what the SEC believes is the sales of an unregistered security offering. As such, this case may not bring as much regulatory clarity to the crypto industry as many initially thought. </w:t>
      </w:r>
    </w:p>
    <w:p w14:paraId="6DE198C5" w14:textId="77777777" w:rsidR="00302161" w:rsidRDefault="00310E5E" w:rsidP="00A8327B">
      <w:pPr>
        <w:spacing w:line="480" w:lineRule="auto"/>
        <w:ind w:firstLine="720"/>
      </w:pPr>
      <w:r>
        <w:t xml:space="preserve">However, if Ripple prevails on its defense for Lack of Due Process and Fair Notice, it may force the SEC either to publish an Administrative Rule, abiding by the processes prescribed by the Administrative Procedures Act, or Congress will have to create new legislation regarding digital assets to provide clarity. In the past, many companies who’ve gone down this path with the SEC have paid fines or returned funds to purchasers. </w:t>
      </w:r>
    </w:p>
    <w:p w14:paraId="3601CE0F" w14:textId="2F643358" w:rsidR="00310E5E" w:rsidRPr="00BB3895" w:rsidRDefault="00310E5E" w:rsidP="00A8327B">
      <w:pPr>
        <w:spacing w:line="480" w:lineRule="auto"/>
        <w:ind w:firstLine="720"/>
      </w:pPr>
      <w:r>
        <w:t xml:space="preserve">We anticipate Ripple will fight aggressively against the SEC, but may ultimately pay a fine. This case shows how comprehensive legislation from Congress is needed as well as further administrative clarity </w:t>
      </w:r>
      <w:r w:rsidR="00302161">
        <w:t>that includes</w:t>
      </w:r>
      <w:r>
        <w:t xml:space="preserve"> rules </w:t>
      </w:r>
      <w:r w:rsidR="00302161">
        <w:t>allowing</w:t>
      </w:r>
      <w:r>
        <w:t xml:space="preserve"> companies operating in the cryptocurrency industry the ability to foster development without concern over violating securities laws. </w:t>
      </w:r>
    </w:p>
    <w:p w14:paraId="12EB18EA" w14:textId="76CF2D9D" w:rsidR="00280E93" w:rsidRPr="00A229A5" w:rsidRDefault="00280E93" w:rsidP="00A87E37">
      <w:pPr>
        <w:pStyle w:val="ListParagraph"/>
        <w:numPr>
          <w:ilvl w:val="0"/>
          <w:numId w:val="3"/>
        </w:numPr>
        <w:rPr>
          <w:b/>
          <w:i/>
        </w:rPr>
      </w:pPr>
      <w:r>
        <w:rPr>
          <w:b/>
        </w:rPr>
        <w:t xml:space="preserve">CONCLUSION </w:t>
      </w:r>
    </w:p>
    <w:p w14:paraId="581576C4" w14:textId="3DFCCC17" w:rsidR="005E24E3" w:rsidRDefault="005E24E3" w:rsidP="009358D4">
      <w:pPr>
        <w:rPr>
          <w:bCs/>
          <w:iCs/>
        </w:rPr>
      </w:pPr>
    </w:p>
    <w:p w14:paraId="262E6CC4" w14:textId="41A5619E" w:rsidR="00D30067" w:rsidRPr="00AB0823" w:rsidRDefault="00D30067" w:rsidP="00AB0823">
      <w:pPr>
        <w:spacing w:line="480" w:lineRule="auto"/>
        <w:ind w:firstLine="720"/>
      </w:pPr>
      <w:r w:rsidRPr="009358D4">
        <w:t xml:space="preserve">The main take-away from </w:t>
      </w:r>
      <w:r>
        <w:t xml:space="preserve">these </w:t>
      </w:r>
      <w:r w:rsidRPr="009358D4">
        <w:t xml:space="preserve">SEC </w:t>
      </w:r>
      <w:r>
        <w:t xml:space="preserve">administrative rulings </w:t>
      </w:r>
      <w:r w:rsidRPr="009358D4">
        <w:t xml:space="preserve">and judicial precedent is: (1) </w:t>
      </w:r>
      <w:r>
        <w:t>token</w:t>
      </w:r>
      <w:r w:rsidRPr="009358D4">
        <w:t xml:space="preserve">s that satisfy the </w:t>
      </w:r>
      <w:r w:rsidRPr="009358D4">
        <w:rPr>
          <w:i/>
        </w:rPr>
        <w:t xml:space="preserve">Howey </w:t>
      </w:r>
      <w:r w:rsidRPr="009358D4">
        <w:t xml:space="preserve">test are securities; (2) </w:t>
      </w:r>
      <w:r>
        <w:t>each token is evaluated on a case-by-case basis; (3) utility and the lack of a</w:t>
      </w:r>
      <w:r w:rsidR="00734397">
        <w:t xml:space="preserve"> monetary</w:t>
      </w:r>
      <w:r>
        <w:t xml:space="preserve"> investment does not absolve tokens from a securities designation; and (4) tokens that instill an expectation of profits due to the efforts of the token issue</w:t>
      </w:r>
      <w:r w:rsidR="00734397">
        <w:t>r</w:t>
      </w:r>
      <w:r>
        <w:t xml:space="preserve"> will almost always result in a securities designation</w:t>
      </w:r>
      <w:r w:rsidRPr="009358D4">
        <w:t xml:space="preserve">. </w:t>
      </w:r>
      <w:r w:rsidR="00C77482">
        <w:t xml:space="preserve">These conclusions are based on traditional notions of securities regulations and fall short of  the framework needed for this revolutionary technology. Cryptocurrency and Blockchain are nascent technologies with ever </w:t>
      </w:r>
      <w:r w:rsidR="00C77482">
        <w:lastRenderedPageBreak/>
        <w:t>expanding use cases, and with the recent expansion of decentralized finance, we see many more issues down the road the SEC will need to address. At the current rate, we anticipate regulatory uncertainty will continue to prevail in the U.S.</w:t>
      </w:r>
    </w:p>
    <w:sectPr w:rsidR="00D30067" w:rsidRPr="00AB0823" w:rsidSect="00544BB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121972" w14:textId="77777777" w:rsidR="00C865CE" w:rsidRDefault="00C865CE" w:rsidP="009A4DA3">
      <w:r>
        <w:separator/>
      </w:r>
    </w:p>
  </w:endnote>
  <w:endnote w:type="continuationSeparator" w:id="0">
    <w:p w14:paraId="6DAD45AB" w14:textId="77777777" w:rsidR="00C865CE" w:rsidRDefault="00C865CE" w:rsidP="009A4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91514266"/>
      <w:docPartObj>
        <w:docPartGallery w:val="Page Numbers (Bottom of Page)"/>
        <w:docPartUnique/>
      </w:docPartObj>
    </w:sdtPr>
    <w:sdtEndPr>
      <w:rPr>
        <w:rStyle w:val="PageNumber"/>
      </w:rPr>
    </w:sdtEndPr>
    <w:sdtContent>
      <w:p w14:paraId="0310EE0A" w14:textId="01C16BE6" w:rsidR="001414CD" w:rsidRDefault="001414CD" w:rsidP="002858D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BE069F" w14:textId="77777777" w:rsidR="001414CD" w:rsidRDefault="001414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63755392"/>
      <w:docPartObj>
        <w:docPartGallery w:val="Page Numbers (Bottom of Page)"/>
        <w:docPartUnique/>
      </w:docPartObj>
    </w:sdtPr>
    <w:sdtEndPr>
      <w:rPr>
        <w:rStyle w:val="PageNumber"/>
      </w:rPr>
    </w:sdtEndPr>
    <w:sdtContent>
      <w:p w14:paraId="05C36E9A" w14:textId="27F138F5" w:rsidR="001414CD" w:rsidRDefault="001414CD" w:rsidP="002858D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D1C6C6" w14:textId="19157D5E" w:rsidR="001414CD" w:rsidRDefault="001414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9ACB53" w14:textId="77777777" w:rsidR="00C865CE" w:rsidRDefault="00C865CE" w:rsidP="009A4DA3">
      <w:r>
        <w:separator/>
      </w:r>
    </w:p>
  </w:footnote>
  <w:footnote w:type="continuationSeparator" w:id="0">
    <w:p w14:paraId="6EAC496D" w14:textId="77777777" w:rsidR="00C865CE" w:rsidRDefault="00C865CE" w:rsidP="009A4DA3">
      <w:r>
        <w:continuationSeparator/>
      </w:r>
    </w:p>
  </w:footnote>
  <w:footnote w:id="1">
    <w:p w14:paraId="1233A72F" w14:textId="0D3C98EE" w:rsidR="001414CD" w:rsidRPr="005C5ACB" w:rsidRDefault="001414CD" w:rsidP="00C42E12">
      <w:pPr>
        <w:pStyle w:val="NormalWeb"/>
        <w:spacing w:before="0" w:beforeAutospacing="0" w:after="0" w:afterAutospacing="0"/>
        <w:rPr>
          <w:color w:val="000000" w:themeColor="text1"/>
          <w:sz w:val="20"/>
          <w:szCs w:val="20"/>
          <w:shd w:val="clear" w:color="auto" w:fill="FFFFFF"/>
        </w:rPr>
      </w:pPr>
      <w:r w:rsidRPr="005C5ACB">
        <w:rPr>
          <w:rStyle w:val="FootnoteReference"/>
          <w:color w:val="000000" w:themeColor="text1"/>
          <w:sz w:val="20"/>
          <w:szCs w:val="20"/>
        </w:rPr>
        <w:footnoteRef/>
      </w:r>
      <w:r w:rsidRPr="005C5ACB">
        <w:rPr>
          <w:color w:val="000000" w:themeColor="text1"/>
          <w:sz w:val="20"/>
          <w:szCs w:val="20"/>
        </w:rPr>
        <w:t xml:space="preserve"> Andrew Bull, Esq. is the Founding Partner of Bull Blockchain Law LLP, a United States based law firm specializing in Blockchain and Cryptocurrency Law. </w:t>
      </w:r>
      <w:r w:rsidRPr="005C5ACB">
        <w:rPr>
          <w:color w:val="000000" w:themeColor="text1"/>
          <w:sz w:val="20"/>
          <w:szCs w:val="20"/>
          <w:bdr w:val="none" w:sz="0" w:space="0" w:color="auto" w:frame="1"/>
        </w:rPr>
        <w:t>After finding Bitcoin in 2011, Andrew wrote his thesis on the regulation of cryptocurrencies in 2013 while getting his law and master's degrees. After running one of the first cryptocurrency mining companies in the U.S. as well as a digital asset investment fund, Andrew started Bull Blockchain Law in direct response to the lack of legal clarity.</w:t>
      </w:r>
    </w:p>
  </w:footnote>
  <w:footnote w:id="2">
    <w:p w14:paraId="4A524AB5" w14:textId="5CA4C073" w:rsidR="001414CD" w:rsidRPr="005C5ACB" w:rsidRDefault="001414CD" w:rsidP="00C42E12">
      <w:pPr>
        <w:pStyle w:val="font8"/>
        <w:spacing w:before="0" w:beforeAutospacing="0" w:after="0" w:afterAutospacing="0"/>
        <w:textAlignment w:val="baseline"/>
        <w:rPr>
          <w:color w:val="000000" w:themeColor="text1"/>
          <w:sz w:val="20"/>
          <w:szCs w:val="20"/>
        </w:rPr>
      </w:pPr>
      <w:r w:rsidRPr="005C5ACB">
        <w:rPr>
          <w:rStyle w:val="FootnoteReference"/>
          <w:color w:val="000000" w:themeColor="text1"/>
          <w:sz w:val="20"/>
          <w:szCs w:val="20"/>
        </w:rPr>
        <w:footnoteRef/>
      </w:r>
      <w:r w:rsidRPr="005C5ACB">
        <w:rPr>
          <w:color w:val="000000" w:themeColor="text1"/>
          <w:sz w:val="20"/>
          <w:szCs w:val="20"/>
        </w:rPr>
        <w:t xml:space="preserve"> </w:t>
      </w:r>
      <w:r w:rsidRPr="005C5ACB">
        <w:rPr>
          <w:rStyle w:val="color11"/>
          <w:color w:val="000000" w:themeColor="text1"/>
          <w:sz w:val="20"/>
          <w:szCs w:val="20"/>
          <w:bdr w:val="none" w:sz="0" w:space="0" w:color="auto" w:frame="1"/>
        </w:rPr>
        <w:t xml:space="preserve">Tyler Harttraft, Esq. is a Senior Partner at </w:t>
      </w:r>
      <w:r w:rsidRPr="005C5ACB">
        <w:rPr>
          <w:color w:val="000000" w:themeColor="text1"/>
          <w:sz w:val="20"/>
          <w:szCs w:val="20"/>
        </w:rPr>
        <w:t>Bull Blockchain Law LLP</w:t>
      </w:r>
      <w:r w:rsidRPr="005C5ACB">
        <w:rPr>
          <w:rStyle w:val="color11"/>
          <w:color w:val="000000" w:themeColor="text1"/>
          <w:sz w:val="20"/>
          <w:szCs w:val="20"/>
          <w:bdr w:val="none" w:sz="0" w:space="0" w:color="auto" w:frame="1"/>
        </w:rPr>
        <w:t>. Tyler represents entrepreneurs and businesses specifically focused blockchain technology, digital assets, virtual currency activities, and other emerging technologies. Tyler provides blockchain consulting and legal advice to companies working across several industries including biotech, real estate, gaming and gambling, fintech, cybersecurity, and IoT.</w:t>
      </w:r>
      <w:r w:rsidRPr="005C5ACB">
        <w:rPr>
          <w:color w:val="000000" w:themeColor="text1"/>
          <w:sz w:val="20"/>
          <w:szCs w:val="20"/>
        </w:rPr>
        <w:t xml:space="preserve"> </w:t>
      </w:r>
    </w:p>
    <w:p w14:paraId="1643B07D" w14:textId="5208EC27" w:rsidR="001414CD" w:rsidRPr="005C5ACB" w:rsidRDefault="001414CD" w:rsidP="00C42E12">
      <w:pPr>
        <w:pStyle w:val="FootnoteText"/>
        <w:rPr>
          <w:color w:val="000000" w:themeColor="text1"/>
        </w:rPr>
      </w:pPr>
    </w:p>
  </w:footnote>
  <w:footnote w:id="3">
    <w:p w14:paraId="5FE44B7F" w14:textId="6A423AF4" w:rsidR="001414CD" w:rsidRPr="005C5ACB" w:rsidRDefault="001414CD" w:rsidP="00C42E12">
      <w:pPr>
        <w:autoSpaceDE w:val="0"/>
        <w:autoSpaceDN w:val="0"/>
        <w:adjustRightInd w:val="0"/>
        <w:rPr>
          <w:color w:val="000000" w:themeColor="text1"/>
          <w:sz w:val="20"/>
          <w:szCs w:val="20"/>
        </w:rPr>
      </w:pPr>
      <w:r w:rsidRPr="005C5ACB">
        <w:rPr>
          <w:rStyle w:val="FootnoteReference"/>
          <w:color w:val="000000" w:themeColor="text1"/>
          <w:sz w:val="20"/>
          <w:szCs w:val="20"/>
        </w:rPr>
        <w:footnoteRef/>
      </w:r>
      <w:r w:rsidRPr="005C5ACB">
        <w:rPr>
          <w:color w:val="000000" w:themeColor="text1"/>
          <w:sz w:val="20"/>
          <w:szCs w:val="20"/>
        </w:rPr>
        <w:t xml:space="preserve"> Satoshi Nakamoto, Bitcoin: A Peer-to-Peer Electronic Cash System (2009). </w:t>
      </w:r>
    </w:p>
  </w:footnote>
  <w:footnote w:id="4">
    <w:p w14:paraId="4FC0C336" w14:textId="77777777" w:rsidR="001414CD" w:rsidRPr="005C5ACB" w:rsidRDefault="001414CD" w:rsidP="00C42E12">
      <w:pPr>
        <w:autoSpaceDE w:val="0"/>
        <w:autoSpaceDN w:val="0"/>
        <w:adjustRightInd w:val="0"/>
        <w:rPr>
          <w:rFonts w:eastAsiaTheme="minorHAnsi"/>
          <w:color w:val="000000" w:themeColor="text1"/>
          <w:sz w:val="20"/>
          <w:szCs w:val="20"/>
        </w:rPr>
      </w:pPr>
      <w:r w:rsidRPr="005C5ACB">
        <w:rPr>
          <w:rStyle w:val="FootnoteReference"/>
          <w:color w:val="000000" w:themeColor="text1"/>
          <w:sz w:val="20"/>
          <w:szCs w:val="20"/>
        </w:rPr>
        <w:footnoteRef/>
      </w:r>
      <w:r w:rsidRPr="005C5ACB">
        <w:rPr>
          <w:color w:val="000000" w:themeColor="text1"/>
          <w:sz w:val="20"/>
          <w:szCs w:val="20"/>
        </w:rPr>
        <w:t xml:space="preserve"> </w:t>
      </w:r>
      <w:r w:rsidRPr="005C5ACB">
        <w:rPr>
          <w:rFonts w:eastAsiaTheme="minorHAnsi"/>
          <w:i/>
          <w:iCs/>
          <w:color w:val="000000" w:themeColor="text1"/>
          <w:sz w:val="20"/>
          <w:szCs w:val="20"/>
        </w:rPr>
        <w:t>See</w:t>
      </w:r>
      <w:r w:rsidRPr="005C5ACB">
        <w:rPr>
          <w:rFonts w:eastAsiaTheme="minorHAnsi"/>
          <w:color w:val="000000" w:themeColor="text1"/>
          <w:sz w:val="20"/>
          <w:szCs w:val="20"/>
        </w:rPr>
        <w:t xml:space="preserve"> Mark </w:t>
      </w:r>
      <w:proofErr w:type="spellStart"/>
      <w:r w:rsidRPr="005C5ACB">
        <w:rPr>
          <w:rFonts w:eastAsiaTheme="minorHAnsi"/>
          <w:color w:val="000000" w:themeColor="text1"/>
          <w:sz w:val="20"/>
          <w:szCs w:val="20"/>
        </w:rPr>
        <w:t>Popielarski</w:t>
      </w:r>
      <w:proofErr w:type="spellEnd"/>
      <w:r w:rsidRPr="005C5ACB">
        <w:rPr>
          <w:rFonts w:eastAsiaTheme="minorHAnsi"/>
          <w:color w:val="000000" w:themeColor="text1"/>
          <w:sz w:val="20"/>
          <w:szCs w:val="20"/>
        </w:rPr>
        <w:t>, Blockchain Research: Bitcoins, Cryptocurrency, and Distributed Leaders, COLO. LAW., June</w:t>
      </w:r>
    </w:p>
    <w:p w14:paraId="65A21F21" w14:textId="310DBFB1" w:rsidR="001414CD" w:rsidRPr="005C5ACB" w:rsidRDefault="001414CD" w:rsidP="00C42E12">
      <w:pPr>
        <w:rPr>
          <w:color w:val="000000" w:themeColor="text1"/>
          <w:sz w:val="20"/>
          <w:szCs w:val="20"/>
        </w:rPr>
      </w:pPr>
      <w:r w:rsidRPr="005C5ACB">
        <w:rPr>
          <w:rFonts w:eastAsiaTheme="minorHAnsi"/>
          <w:color w:val="000000" w:themeColor="text1"/>
          <w:sz w:val="20"/>
          <w:szCs w:val="20"/>
        </w:rPr>
        <w:t>2018, at 10, https://www.cobar.org/Portals/COBAR/TCL/June%202018/CL_June_Departments_LRC.pdf.</w:t>
      </w:r>
    </w:p>
  </w:footnote>
  <w:footnote w:id="5">
    <w:p w14:paraId="54607926" w14:textId="200410A9" w:rsidR="001414CD" w:rsidRPr="005C5ACB" w:rsidRDefault="001414CD" w:rsidP="00C42E12">
      <w:pPr>
        <w:pStyle w:val="FootnoteText"/>
        <w:rPr>
          <w:color w:val="000000" w:themeColor="text1"/>
        </w:rPr>
      </w:pPr>
      <w:r w:rsidRPr="005C5ACB">
        <w:rPr>
          <w:rStyle w:val="FootnoteReference"/>
          <w:color w:val="000000" w:themeColor="text1"/>
        </w:rPr>
        <w:footnoteRef/>
      </w:r>
      <w:r w:rsidRPr="005C5ACB">
        <w:rPr>
          <w:color w:val="000000" w:themeColor="text1"/>
        </w:rPr>
        <w:t xml:space="preserve"> </w:t>
      </w:r>
      <w:r w:rsidRPr="005C5ACB">
        <w:rPr>
          <w:i/>
          <w:iCs/>
          <w:color w:val="000000" w:themeColor="text1"/>
        </w:rPr>
        <w:t>See</w:t>
      </w:r>
      <w:r w:rsidRPr="005C5ACB">
        <w:rPr>
          <w:color w:val="000000" w:themeColor="text1"/>
        </w:rPr>
        <w:t xml:space="preserve"> Ian Edwards, Nasdaq and Partners Complete Blockchain-Based Proof-of-Concept for Securities Markets, BITSONLINE (June 20, 2018), https://bitsonline.com/nasdaq-and-partners-complete-blockchain-based-proof-of-concept-for-securities-markets/; Shelley Goldberg, How Blockchain Could Revolutionize Commodity Markets, BLOOMBERG (Dec. 22, 2017, 5:00 AM), https://www.bloomberg.com/view/articles/2017-12-22/how-blockchain-could-revolutionize-commodity-markets.</w:t>
      </w:r>
    </w:p>
  </w:footnote>
  <w:footnote w:id="6">
    <w:p w14:paraId="53DB58C6" w14:textId="77777777" w:rsidR="001414CD" w:rsidRPr="005C5ACB" w:rsidRDefault="001414CD" w:rsidP="00C42E12">
      <w:pPr>
        <w:pStyle w:val="FootnoteText"/>
        <w:rPr>
          <w:color w:val="000000" w:themeColor="text1"/>
        </w:rPr>
      </w:pPr>
      <w:r w:rsidRPr="005C5ACB">
        <w:rPr>
          <w:rStyle w:val="FootnoteReference"/>
          <w:color w:val="000000" w:themeColor="text1"/>
        </w:rPr>
        <w:footnoteRef/>
      </w:r>
      <w:r w:rsidRPr="005C5ACB">
        <w:rPr>
          <w:color w:val="000000" w:themeColor="text1"/>
        </w:rPr>
        <w:t xml:space="preserve"> </w:t>
      </w:r>
      <w:proofErr w:type="spellStart"/>
      <w:r w:rsidRPr="005C5ACB">
        <w:rPr>
          <w:color w:val="000000" w:themeColor="text1"/>
        </w:rPr>
        <w:t>Popielarski</w:t>
      </w:r>
      <w:proofErr w:type="spellEnd"/>
      <w:r w:rsidRPr="005C5ACB">
        <w:rPr>
          <w:color w:val="000000" w:themeColor="text1"/>
        </w:rPr>
        <w:t xml:space="preserve">, </w:t>
      </w:r>
      <w:r w:rsidRPr="005C5ACB">
        <w:rPr>
          <w:i/>
          <w:iCs/>
          <w:color w:val="000000" w:themeColor="text1"/>
        </w:rPr>
        <w:t xml:space="preserve">supra </w:t>
      </w:r>
      <w:r w:rsidRPr="005C5ACB">
        <w:rPr>
          <w:color w:val="000000" w:themeColor="text1"/>
        </w:rPr>
        <w:t xml:space="preserve">note 4. </w:t>
      </w:r>
    </w:p>
  </w:footnote>
  <w:footnote w:id="7">
    <w:p w14:paraId="2D4C34DD" w14:textId="77777777" w:rsidR="001414CD" w:rsidRPr="005C5ACB" w:rsidRDefault="001414CD" w:rsidP="00C42E12">
      <w:pPr>
        <w:autoSpaceDE w:val="0"/>
        <w:autoSpaceDN w:val="0"/>
        <w:adjustRightInd w:val="0"/>
        <w:rPr>
          <w:rFonts w:eastAsiaTheme="minorHAnsi"/>
          <w:color w:val="000000" w:themeColor="text1"/>
          <w:sz w:val="20"/>
          <w:szCs w:val="20"/>
        </w:rPr>
      </w:pPr>
      <w:r w:rsidRPr="005C5ACB">
        <w:rPr>
          <w:rStyle w:val="FootnoteReference"/>
          <w:color w:val="000000" w:themeColor="text1"/>
          <w:sz w:val="20"/>
          <w:szCs w:val="20"/>
        </w:rPr>
        <w:footnoteRef/>
      </w:r>
      <w:r w:rsidRPr="005C5ACB">
        <w:rPr>
          <w:color w:val="000000" w:themeColor="text1"/>
          <w:sz w:val="20"/>
          <w:szCs w:val="20"/>
        </w:rPr>
        <w:t xml:space="preserve"> </w:t>
      </w:r>
      <w:r w:rsidRPr="005C5ACB">
        <w:rPr>
          <w:rFonts w:eastAsiaTheme="minorHAnsi"/>
          <w:i/>
          <w:iCs/>
          <w:color w:val="000000" w:themeColor="text1"/>
          <w:sz w:val="20"/>
          <w:szCs w:val="20"/>
        </w:rPr>
        <w:t>See</w:t>
      </w:r>
      <w:r w:rsidRPr="005C5ACB">
        <w:rPr>
          <w:rFonts w:eastAsiaTheme="minorHAnsi"/>
          <w:color w:val="000000" w:themeColor="text1"/>
          <w:sz w:val="20"/>
          <w:szCs w:val="20"/>
        </w:rPr>
        <w:t xml:space="preserve"> Report of Investigation Pursuant to Section 21(a) of the Securities and Exchange Act of 1934: The DAO, Exchange</w:t>
      </w:r>
    </w:p>
    <w:p w14:paraId="5327F752" w14:textId="79AE472C" w:rsidR="001414CD" w:rsidRPr="005C5ACB" w:rsidRDefault="001414CD" w:rsidP="00C42E12">
      <w:pPr>
        <w:autoSpaceDE w:val="0"/>
        <w:autoSpaceDN w:val="0"/>
        <w:adjustRightInd w:val="0"/>
        <w:rPr>
          <w:rFonts w:eastAsiaTheme="minorHAnsi"/>
          <w:color w:val="000000" w:themeColor="text1"/>
          <w:sz w:val="20"/>
          <w:szCs w:val="20"/>
        </w:rPr>
      </w:pPr>
      <w:r w:rsidRPr="005C5ACB">
        <w:rPr>
          <w:rFonts w:eastAsiaTheme="minorHAnsi"/>
          <w:color w:val="000000" w:themeColor="text1"/>
          <w:sz w:val="20"/>
          <w:szCs w:val="20"/>
        </w:rPr>
        <w:t xml:space="preserve">Act Release No. 81,207, 117 SEC Docket 5, at 11-13 (July 25, 2017) [hereinafter DAO Report]; </w:t>
      </w:r>
      <w:r w:rsidRPr="005C5ACB">
        <w:rPr>
          <w:rFonts w:eastAsiaTheme="minorHAnsi"/>
          <w:i/>
          <w:iCs/>
          <w:color w:val="000000" w:themeColor="text1"/>
          <w:sz w:val="20"/>
          <w:szCs w:val="20"/>
        </w:rPr>
        <w:t xml:space="preserve">see also </w:t>
      </w:r>
      <w:r w:rsidRPr="005C5ACB">
        <w:rPr>
          <w:rFonts w:eastAsiaTheme="minorHAnsi"/>
          <w:color w:val="000000" w:themeColor="text1"/>
          <w:sz w:val="20"/>
          <w:szCs w:val="20"/>
        </w:rPr>
        <w:t xml:space="preserve">See Nathaniel Popper, An Explanation of Initial Coin Offerings, N.Y. TIMES (Oct. 27, 2017), (“Coin offerings are a way for startups or online projects to raise money without selling stock or going to venture-capitalists--essentially a new form of crowdfunding.”). </w:t>
      </w:r>
    </w:p>
  </w:footnote>
  <w:footnote w:id="8">
    <w:p w14:paraId="75C3628E" w14:textId="2B77799B" w:rsidR="001414CD" w:rsidRPr="005C5ACB" w:rsidRDefault="001414CD" w:rsidP="00C42E12">
      <w:pPr>
        <w:pStyle w:val="FootnoteText"/>
        <w:rPr>
          <w:color w:val="000000" w:themeColor="text1"/>
        </w:rPr>
      </w:pPr>
      <w:r w:rsidRPr="005C5ACB">
        <w:rPr>
          <w:rStyle w:val="FootnoteReference"/>
          <w:color w:val="000000" w:themeColor="text1"/>
        </w:rPr>
        <w:footnoteRef/>
      </w:r>
      <w:r w:rsidRPr="005C5ACB">
        <w:rPr>
          <w:color w:val="000000" w:themeColor="text1"/>
        </w:rPr>
        <w:t xml:space="preserve"> SEC. “Spotlight on Initial Coin Offerings and Digital Assets.” </w:t>
      </w:r>
      <w:hyperlink r:id="rId1" w:history="1">
        <w:r w:rsidRPr="005C5ACB">
          <w:rPr>
            <w:rStyle w:val="Hyperlink"/>
            <w:color w:val="000000" w:themeColor="text1"/>
            <w:u w:val="none"/>
          </w:rPr>
          <w:t>https://www.sec.gov/spotlight-initial-coin-offerings-and-digital-assets</w:t>
        </w:r>
      </w:hyperlink>
      <w:r w:rsidRPr="005C5ACB">
        <w:rPr>
          <w:rStyle w:val="Hyperlink"/>
          <w:color w:val="000000" w:themeColor="text1"/>
          <w:u w:val="none"/>
        </w:rPr>
        <w:t xml:space="preserve">; </w:t>
      </w:r>
      <w:r w:rsidRPr="005C5ACB">
        <w:rPr>
          <w:color w:val="000000" w:themeColor="text1"/>
        </w:rPr>
        <w:t xml:space="preserve">In the Matter of </w:t>
      </w:r>
      <w:proofErr w:type="spellStart"/>
      <w:r w:rsidRPr="005C5ACB">
        <w:rPr>
          <w:color w:val="000000" w:themeColor="text1"/>
        </w:rPr>
        <w:t>Munchee</w:t>
      </w:r>
      <w:proofErr w:type="spellEnd"/>
      <w:r w:rsidRPr="005C5ACB">
        <w:rPr>
          <w:color w:val="000000" w:themeColor="text1"/>
        </w:rPr>
        <w:t xml:space="preserve"> Inc., SEC Release No. 33-10445 (Dec. 11, 2017) (cease and desist order); </w:t>
      </w:r>
      <w:proofErr w:type="spellStart"/>
      <w:r w:rsidRPr="005C5ACB">
        <w:rPr>
          <w:color w:val="000000" w:themeColor="text1"/>
        </w:rPr>
        <w:t>AirFox</w:t>
      </w:r>
      <w:proofErr w:type="spellEnd"/>
      <w:r w:rsidRPr="005C5ACB">
        <w:rPr>
          <w:color w:val="000000" w:themeColor="text1"/>
        </w:rPr>
        <w:t xml:space="preserve">, Paragon, Crypto Asset Management, </w:t>
      </w:r>
      <w:proofErr w:type="spellStart"/>
      <w:r w:rsidRPr="005C5ACB">
        <w:rPr>
          <w:color w:val="000000" w:themeColor="text1"/>
        </w:rPr>
        <w:t>TokenLot</w:t>
      </w:r>
      <w:proofErr w:type="spellEnd"/>
      <w:r w:rsidRPr="005C5ACB">
        <w:rPr>
          <w:color w:val="000000" w:themeColor="text1"/>
        </w:rPr>
        <w:t xml:space="preserve">, and </w:t>
      </w:r>
      <w:proofErr w:type="spellStart"/>
      <w:r w:rsidRPr="005C5ACB">
        <w:rPr>
          <w:color w:val="000000" w:themeColor="text1"/>
        </w:rPr>
        <w:t>EtherDelta's</w:t>
      </w:r>
      <w:proofErr w:type="spellEnd"/>
      <w:r w:rsidRPr="005C5ACB">
        <w:rPr>
          <w:color w:val="000000" w:themeColor="text1"/>
        </w:rPr>
        <w:t xml:space="preserve"> founder. Division of Corporation Finance, Division of Investment Management, and Division of Trading and Markets. “Statement on Digital Asset Securities Issuance and Trading.” Nov. 16, 2018. SEC.</w:t>
      </w:r>
    </w:p>
  </w:footnote>
  <w:footnote w:id="9">
    <w:p w14:paraId="245B8934" w14:textId="74BB9863" w:rsidR="001414CD" w:rsidRPr="005C5ACB" w:rsidRDefault="001414CD" w:rsidP="00C42E12">
      <w:pPr>
        <w:autoSpaceDE w:val="0"/>
        <w:autoSpaceDN w:val="0"/>
        <w:adjustRightInd w:val="0"/>
        <w:rPr>
          <w:rFonts w:eastAsiaTheme="minorHAnsi"/>
          <w:color w:val="000000" w:themeColor="text1"/>
          <w:sz w:val="20"/>
          <w:szCs w:val="20"/>
        </w:rPr>
      </w:pPr>
      <w:r w:rsidRPr="005C5ACB">
        <w:rPr>
          <w:rStyle w:val="FootnoteReference"/>
          <w:color w:val="000000" w:themeColor="text1"/>
          <w:sz w:val="20"/>
          <w:szCs w:val="20"/>
        </w:rPr>
        <w:footnoteRef/>
      </w:r>
      <w:r w:rsidRPr="005C5ACB">
        <w:rPr>
          <w:color w:val="000000" w:themeColor="text1"/>
          <w:sz w:val="20"/>
          <w:szCs w:val="20"/>
        </w:rPr>
        <w:t xml:space="preserve"> </w:t>
      </w:r>
      <w:r w:rsidRPr="005C5ACB">
        <w:rPr>
          <w:rFonts w:eastAsiaTheme="minorHAnsi"/>
          <w:color w:val="000000" w:themeColor="text1"/>
          <w:sz w:val="20"/>
          <w:szCs w:val="20"/>
        </w:rPr>
        <w:t xml:space="preserve">VITALIK BUTERIN, A NEXT GENERATION SMART CONTRACT &amp; DECENTRALIZED APPLICATION PLATFORM 1 (2013),http://blockchainlab.com/pdf/Ethereum_white_papera_next_generation_smart_contract_and_decentralized_application_platform-vitalik-buterin.pdf. </w:t>
      </w:r>
    </w:p>
  </w:footnote>
  <w:footnote w:id="10">
    <w:p w14:paraId="150E4421" w14:textId="0034FF3D" w:rsidR="001414CD" w:rsidRDefault="001414CD">
      <w:pPr>
        <w:pStyle w:val="FootnoteText"/>
      </w:pPr>
      <w:r>
        <w:rPr>
          <w:rStyle w:val="FootnoteReference"/>
        </w:rPr>
        <w:footnoteRef/>
      </w:r>
      <w:r>
        <w:t xml:space="preserve"> </w:t>
      </w:r>
      <w:r>
        <w:rPr>
          <w:i/>
          <w:iCs/>
        </w:rPr>
        <w:t xml:space="preserve">See </w:t>
      </w:r>
      <w:r w:rsidRPr="004D2847">
        <w:rPr>
          <w:iCs/>
        </w:rPr>
        <w:t>Strategic Hub for Innovation and Fin. Tech., U.S. Sec. and Exch. Comm’n</w:t>
      </w:r>
      <w:r w:rsidRPr="00EC2C48">
        <w:rPr>
          <w:i/>
        </w:rPr>
        <w:t xml:space="preserve">, Framework for “Investment Contract” Analysis of Digital </w:t>
      </w:r>
      <w:r w:rsidRPr="009B7570">
        <w:rPr>
          <w:i/>
        </w:rPr>
        <w:t>Assets</w:t>
      </w:r>
      <w:r>
        <w:rPr>
          <w:i/>
        </w:rPr>
        <w:t>,</w:t>
      </w:r>
      <w:r>
        <w:rPr>
          <w:iCs/>
        </w:rPr>
        <w:t xml:space="preserve"> (Feb. 8, 2021), </w:t>
      </w:r>
      <w:r w:rsidRPr="004D2847">
        <w:rPr>
          <w:i/>
        </w:rPr>
        <w:t>https</w:t>
      </w:r>
      <w:r w:rsidRPr="00EC2C48">
        <w:t>://www.sec.gov/corpfin/framework-investment-contract-analysis-digital-assets#_edn1</w:t>
      </w:r>
      <w:r w:rsidRPr="00EC2C48">
        <w:rPr>
          <w:i/>
        </w:rPr>
        <w:t>.</w:t>
      </w:r>
    </w:p>
  </w:footnote>
  <w:footnote w:id="11">
    <w:p w14:paraId="1D5FDDED" w14:textId="2B45189C" w:rsidR="001414CD" w:rsidRPr="005C5ACB" w:rsidRDefault="001414CD" w:rsidP="00C42E12">
      <w:pPr>
        <w:pStyle w:val="Heading1"/>
        <w:shd w:val="clear" w:color="auto" w:fill="FCFCFC"/>
        <w:spacing w:before="0" w:beforeAutospacing="0" w:after="0" w:afterAutospacing="0"/>
        <w:rPr>
          <w:b w:val="0"/>
          <w:bCs w:val="0"/>
          <w:color w:val="000000" w:themeColor="text1"/>
          <w:sz w:val="20"/>
          <w:szCs w:val="20"/>
        </w:rPr>
      </w:pPr>
      <w:r w:rsidRPr="005C5ACB">
        <w:rPr>
          <w:rStyle w:val="FootnoteReference"/>
          <w:b w:val="0"/>
          <w:bCs w:val="0"/>
          <w:color w:val="000000" w:themeColor="text1"/>
          <w:sz w:val="20"/>
          <w:szCs w:val="20"/>
        </w:rPr>
        <w:footnoteRef/>
      </w:r>
      <w:r w:rsidRPr="005C5ACB">
        <w:rPr>
          <w:b w:val="0"/>
          <w:bCs w:val="0"/>
          <w:color w:val="000000" w:themeColor="text1"/>
          <w:sz w:val="20"/>
          <w:szCs w:val="20"/>
        </w:rPr>
        <w:t xml:space="preserve"> </w:t>
      </w:r>
      <w:r w:rsidRPr="005C5ACB">
        <w:rPr>
          <w:b w:val="0"/>
          <w:bCs w:val="0"/>
          <w:i/>
          <w:iCs/>
          <w:color w:val="000000" w:themeColor="text1"/>
          <w:sz w:val="20"/>
          <w:szCs w:val="20"/>
        </w:rPr>
        <w:t>See</w:t>
      </w:r>
      <w:r w:rsidRPr="005C5ACB">
        <w:rPr>
          <w:b w:val="0"/>
          <w:bCs w:val="0"/>
          <w:color w:val="000000" w:themeColor="text1"/>
          <w:sz w:val="20"/>
          <w:szCs w:val="20"/>
        </w:rPr>
        <w:t xml:space="preserve"> Jeff </w:t>
      </w:r>
      <w:proofErr w:type="spellStart"/>
      <w:r w:rsidRPr="005C5ACB">
        <w:rPr>
          <w:b w:val="0"/>
          <w:bCs w:val="0"/>
          <w:color w:val="000000" w:themeColor="text1"/>
          <w:sz w:val="20"/>
          <w:szCs w:val="20"/>
        </w:rPr>
        <w:t>Kauflin</w:t>
      </w:r>
      <w:proofErr w:type="spellEnd"/>
      <w:r w:rsidRPr="005C5ACB">
        <w:rPr>
          <w:b w:val="0"/>
          <w:bCs w:val="0"/>
          <w:color w:val="000000" w:themeColor="text1"/>
          <w:sz w:val="20"/>
          <w:szCs w:val="20"/>
        </w:rPr>
        <w:t>, Crypto Startups Are Fleeing The U.S.—This Bill Is Trying To Stop Them, FORBES (Jan. 10, 2019), https://www.forbes.com/sites/jeffkauflin/2019/01/10/crypto-startups-are-fleeing-the-usthis-bill-is-trying-to-stop-them/?sh=42c9de112267</w:t>
      </w:r>
    </w:p>
  </w:footnote>
  <w:footnote w:id="12">
    <w:p w14:paraId="69093A71" w14:textId="310DFFA3" w:rsidR="001414CD" w:rsidRPr="005C5ACB" w:rsidRDefault="001414CD" w:rsidP="00C42E12">
      <w:pPr>
        <w:pStyle w:val="Heading1"/>
        <w:shd w:val="clear" w:color="auto" w:fill="FFFFFF"/>
        <w:spacing w:before="0" w:beforeAutospacing="0" w:after="0" w:afterAutospacing="0"/>
        <w:textAlignment w:val="baseline"/>
        <w:rPr>
          <w:b w:val="0"/>
          <w:bCs w:val="0"/>
          <w:color w:val="000000" w:themeColor="text1"/>
          <w:sz w:val="20"/>
          <w:szCs w:val="20"/>
        </w:rPr>
      </w:pPr>
      <w:r w:rsidRPr="005C5ACB">
        <w:rPr>
          <w:rStyle w:val="FootnoteReference"/>
          <w:b w:val="0"/>
          <w:bCs w:val="0"/>
          <w:color w:val="000000" w:themeColor="text1"/>
          <w:sz w:val="20"/>
          <w:szCs w:val="20"/>
        </w:rPr>
        <w:footnoteRef/>
      </w:r>
      <w:r w:rsidRPr="005C5ACB">
        <w:rPr>
          <w:b w:val="0"/>
          <w:bCs w:val="0"/>
          <w:color w:val="000000" w:themeColor="text1"/>
          <w:sz w:val="20"/>
          <w:szCs w:val="20"/>
        </w:rPr>
        <w:t xml:space="preserve"> </w:t>
      </w:r>
      <w:r w:rsidRPr="005C5ACB">
        <w:rPr>
          <w:b w:val="0"/>
          <w:bCs w:val="0"/>
          <w:i/>
          <w:iCs/>
          <w:color w:val="000000" w:themeColor="text1"/>
          <w:sz w:val="20"/>
          <w:szCs w:val="20"/>
        </w:rPr>
        <w:t xml:space="preserve">See </w:t>
      </w:r>
      <w:r w:rsidRPr="005C5ACB">
        <w:rPr>
          <w:b w:val="0"/>
          <w:bCs w:val="0"/>
          <w:color w:val="000000" w:themeColor="text1"/>
          <w:sz w:val="20"/>
          <w:szCs w:val="20"/>
        </w:rPr>
        <w:t xml:space="preserve">Commissioner Hester M. Peirce, Statement on SEC Settlement Charging Token Issuer with Violation of Registration Provisions of the Securities Act of 1933. https://www.sec.gov/news/public-statement/peirce-statement-settlement-charging-token-issuer </w:t>
      </w:r>
    </w:p>
  </w:footnote>
  <w:footnote w:id="13">
    <w:p w14:paraId="3F6DB72D" w14:textId="77777777" w:rsidR="001414CD" w:rsidRPr="005C5ACB" w:rsidRDefault="001414CD" w:rsidP="00010F5E">
      <w:pPr>
        <w:pStyle w:val="FootnoteText"/>
        <w:rPr>
          <w:color w:val="000000" w:themeColor="text1"/>
        </w:rPr>
      </w:pPr>
      <w:r w:rsidRPr="005C5ACB">
        <w:rPr>
          <w:rStyle w:val="FootnoteReference"/>
          <w:color w:val="000000" w:themeColor="text1"/>
        </w:rPr>
        <w:footnoteRef/>
      </w:r>
      <w:r w:rsidRPr="005C5ACB">
        <w:rPr>
          <w:color w:val="000000" w:themeColor="text1"/>
        </w:rPr>
        <w:t xml:space="preserve"> </w:t>
      </w:r>
      <w:r w:rsidRPr="005C5ACB">
        <w:rPr>
          <w:i/>
          <w:color w:val="000000" w:themeColor="text1"/>
        </w:rPr>
        <w:t>See e.g.</w:t>
      </w:r>
      <w:r w:rsidRPr="005C5ACB">
        <w:rPr>
          <w:color w:val="000000" w:themeColor="text1"/>
        </w:rPr>
        <w:t xml:space="preserve">, SEC, Report of Investigation Pursuant to Section 21(A) of the Securities Exchange Act pf 1934: The “DAO Report”, securities act release no. 81207 (July 25, 2017) (applying the traditional securities Howey Test to conclude the DAO Token was a security). </w:t>
      </w:r>
    </w:p>
  </w:footnote>
  <w:footnote w:id="14">
    <w:p w14:paraId="4F56D6FA" w14:textId="77777777" w:rsidR="001414CD" w:rsidRPr="005C5ACB" w:rsidRDefault="001414CD" w:rsidP="00C42E12">
      <w:pPr>
        <w:rPr>
          <w:color w:val="000000" w:themeColor="text1"/>
          <w:sz w:val="20"/>
          <w:szCs w:val="20"/>
        </w:rPr>
      </w:pPr>
      <w:r w:rsidRPr="005C5ACB">
        <w:rPr>
          <w:rStyle w:val="FootnoteReference"/>
          <w:color w:val="000000" w:themeColor="text1"/>
          <w:sz w:val="20"/>
          <w:szCs w:val="20"/>
        </w:rPr>
        <w:footnoteRef/>
      </w:r>
      <w:r w:rsidRPr="005C5ACB">
        <w:rPr>
          <w:color w:val="000000" w:themeColor="text1"/>
          <w:sz w:val="20"/>
          <w:szCs w:val="20"/>
        </w:rPr>
        <w:t xml:space="preserve"> </w:t>
      </w:r>
      <w:r w:rsidRPr="005C5ACB">
        <w:rPr>
          <w:i/>
          <w:color w:val="000000" w:themeColor="text1"/>
          <w:sz w:val="20"/>
          <w:szCs w:val="20"/>
        </w:rPr>
        <w:t>See</w:t>
      </w:r>
      <w:r w:rsidRPr="005C5ACB">
        <w:rPr>
          <w:color w:val="000000" w:themeColor="text1"/>
          <w:sz w:val="20"/>
          <w:szCs w:val="20"/>
        </w:rPr>
        <w:t xml:space="preserve"> 15 U.S.C. § 77b. </w:t>
      </w:r>
    </w:p>
  </w:footnote>
  <w:footnote w:id="15">
    <w:p w14:paraId="51822357" w14:textId="77777777" w:rsidR="001414CD" w:rsidRPr="005C5ACB" w:rsidRDefault="001414CD" w:rsidP="00C42E12">
      <w:pPr>
        <w:pStyle w:val="FootnoteText"/>
        <w:rPr>
          <w:color w:val="000000" w:themeColor="text1"/>
        </w:rPr>
      </w:pPr>
      <w:r w:rsidRPr="005C5ACB">
        <w:rPr>
          <w:rStyle w:val="FootnoteReference"/>
          <w:color w:val="000000" w:themeColor="text1"/>
        </w:rPr>
        <w:footnoteRef/>
      </w:r>
      <w:r w:rsidRPr="005C5ACB">
        <w:rPr>
          <w:color w:val="000000" w:themeColor="text1"/>
        </w:rPr>
        <w:t xml:space="preserve"> 328 U.S. 293 (1946). </w:t>
      </w:r>
    </w:p>
  </w:footnote>
  <w:footnote w:id="16">
    <w:p w14:paraId="08929760" w14:textId="77777777" w:rsidR="001414CD" w:rsidRPr="005C5ACB" w:rsidRDefault="001414CD" w:rsidP="00C42E12">
      <w:pPr>
        <w:pStyle w:val="FootnoteText"/>
        <w:rPr>
          <w:color w:val="000000" w:themeColor="text1"/>
        </w:rPr>
      </w:pPr>
      <w:r w:rsidRPr="005C5ACB">
        <w:rPr>
          <w:rStyle w:val="FootnoteReference"/>
          <w:color w:val="000000" w:themeColor="text1"/>
        </w:rPr>
        <w:footnoteRef/>
      </w:r>
      <w:r w:rsidRPr="005C5ACB">
        <w:rPr>
          <w:color w:val="000000" w:themeColor="text1"/>
        </w:rPr>
        <w:t xml:space="preserve"> Indeed, the Court has referred to the test established by </w:t>
      </w:r>
      <w:r w:rsidRPr="005C5ACB">
        <w:rPr>
          <w:i/>
          <w:color w:val="000000" w:themeColor="text1"/>
        </w:rPr>
        <w:t>Howey</w:t>
      </w:r>
      <w:r w:rsidRPr="005C5ACB">
        <w:rPr>
          <w:color w:val="000000" w:themeColor="text1"/>
        </w:rPr>
        <w:t xml:space="preserve"> for determining whether an instrument is a security as, “in shorthand form, [embodying] the essential attributes that run through all of the Court’s decision defining a security.” </w:t>
      </w:r>
      <w:r w:rsidRPr="005C5ACB">
        <w:rPr>
          <w:i/>
          <w:color w:val="000000" w:themeColor="text1"/>
        </w:rPr>
        <w:t>See United Housing Found., Inc. v. Forman</w:t>
      </w:r>
      <w:r w:rsidRPr="005C5ACB">
        <w:rPr>
          <w:color w:val="000000" w:themeColor="text1"/>
        </w:rPr>
        <w:t xml:space="preserve">, 421 U.S. 837, 852 (1975). However, the Court subsequently emphasized that this statement was meant to apply only in the context of determining whether an instrument is an investment contract. </w:t>
      </w:r>
      <w:r w:rsidRPr="005C5ACB">
        <w:rPr>
          <w:i/>
          <w:color w:val="000000" w:themeColor="text1"/>
        </w:rPr>
        <w:t>See Landreth Timber Co. v. Landreth</w:t>
      </w:r>
      <w:r w:rsidRPr="005C5ACB">
        <w:rPr>
          <w:color w:val="000000" w:themeColor="text1"/>
        </w:rPr>
        <w:t xml:space="preserve">, 471 U.S. 681, 691 n.5 (1985).  </w:t>
      </w:r>
    </w:p>
  </w:footnote>
  <w:footnote w:id="17">
    <w:p w14:paraId="7AC5FE63" w14:textId="77777777" w:rsidR="001414CD" w:rsidRPr="005C5ACB" w:rsidRDefault="001414CD" w:rsidP="00C42E12">
      <w:pPr>
        <w:pStyle w:val="FootnoteText"/>
        <w:rPr>
          <w:color w:val="000000" w:themeColor="text1"/>
        </w:rPr>
      </w:pPr>
      <w:r w:rsidRPr="005C5ACB">
        <w:rPr>
          <w:rStyle w:val="FootnoteReference"/>
          <w:color w:val="000000" w:themeColor="text1"/>
        </w:rPr>
        <w:footnoteRef/>
      </w:r>
      <w:r w:rsidRPr="005C5ACB">
        <w:rPr>
          <w:color w:val="000000" w:themeColor="text1"/>
        </w:rPr>
        <w:t xml:space="preserve"> 328 U.S. at 239. </w:t>
      </w:r>
    </w:p>
  </w:footnote>
  <w:footnote w:id="18">
    <w:p w14:paraId="2D4521E8" w14:textId="5BA6E18A" w:rsidR="001414CD" w:rsidRPr="005C5ACB" w:rsidRDefault="001414CD" w:rsidP="00C42E12">
      <w:pPr>
        <w:pStyle w:val="FootnoteText"/>
        <w:rPr>
          <w:color w:val="000000" w:themeColor="text1"/>
        </w:rPr>
      </w:pPr>
      <w:r w:rsidRPr="005C5ACB">
        <w:rPr>
          <w:rStyle w:val="FootnoteReference"/>
          <w:color w:val="000000" w:themeColor="text1"/>
        </w:rPr>
        <w:footnoteRef/>
      </w:r>
      <w:r w:rsidRPr="005C5ACB">
        <w:rPr>
          <w:color w:val="000000" w:themeColor="text1"/>
        </w:rPr>
        <w:t xml:space="preserve"> </w:t>
      </w:r>
      <w:r w:rsidRPr="005C5ACB">
        <w:rPr>
          <w:i/>
          <w:color w:val="000000" w:themeColor="text1"/>
        </w:rPr>
        <w:t>Id.</w:t>
      </w:r>
      <w:r w:rsidRPr="005C5ACB">
        <w:rPr>
          <w:color w:val="000000" w:themeColor="text1"/>
        </w:rPr>
        <w:t xml:space="preserve"> </w:t>
      </w:r>
    </w:p>
  </w:footnote>
  <w:footnote w:id="19">
    <w:p w14:paraId="77A1E4C7" w14:textId="31BCFDB3" w:rsidR="001414CD" w:rsidRPr="005C5ACB" w:rsidRDefault="001414CD" w:rsidP="00C42E12">
      <w:pPr>
        <w:pStyle w:val="FootnoteText"/>
        <w:rPr>
          <w:color w:val="000000" w:themeColor="text1"/>
        </w:rPr>
      </w:pPr>
      <w:r w:rsidRPr="005C5ACB">
        <w:rPr>
          <w:rStyle w:val="FootnoteReference"/>
          <w:color w:val="000000" w:themeColor="text1"/>
        </w:rPr>
        <w:footnoteRef/>
      </w:r>
      <w:r w:rsidRPr="005C5ACB">
        <w:rPr>
          <w:color w:val="000000" w:themeColor="text1"/>
        </w:rPr>
        <w:t xml:space="preserve"> </w:t>
      </w:r>
      <w:r w:rsidRPr="005C5ACB">
        <w:rPr>
          <w:i/>
          <w:color w:val="000000" w:themeColor="text1"/>
        </w:rPr>
        <w:t xml:space="preserve">Id. </w:t>
      </w:r>
      <w:r w:rsidRPr="005C5ACB">
        <w:rPr>
          <w:color w:val="000000" w:themeColor="text1"/>
        </w:rPr>
        <w:t xml:space="preserve">at 298. </w:t>
      </w:r>
    </w:p>
  </w:footnote>
  <w:footnote w:id="20">
    <w:p w14:paraId="18BD04DE" w14:textId="77777777" w:rsidR="001414CD" w:rsidRPr="005C5ACB" w:rsidRDefault="001414CD" w:rsidP="00C42E12">
      <w:pPr>
        <w:pStyle w:val="FootnoteText"/>
        <w:rPr>
          <w:color w:val="000000" w:themeColor="text1"/>
        </w:rPr>
      </w:pPr>
      <w:r w:rsidRPr="005C5ACB">
        <w:rPr>
          <w:rStyle w:val="FootnoteReference"/>
          <w:color w:val="000000" w:themeColor="text1"/>
        </w:rPr>
        <w:footnoteRef/>
      </w:r>
      <w:r w:rsidRPr="005C5ACB">
        <w:rPr>
          <w:color w:val="000000" w:themeColor="text1"/>
        </w:rPr>
        <w:t xml:space="preserve"> </w:t>
      </w:r>
      <w:r w:rsidRPr="005C5ACB">
        <w:rPr>
          <w:i/>
          <w:color w:val="000000" w:themeColor="text1"/>
        </w:rPr>
        <w:t>Id.</w:t>
      </w:r>
      <w:r w:rsidRPr="005C5ACB">
        <w:rPr>
          <w:color w:val="000000" w:themeColor="text1"/>
        </w:rPr>
        <w:t xml:space="preserve"> at 239, 298-99. In </w:t>
      </w:r>
      <w:r w:rsidRPr="005C5ACB">
        <w:rPr>
          <w:i/>
          <w:color w:val="000000" w:themeColor="text1"/>
        </w:rPr>
        <w:t>Howey</w:t>
      </w:r>
      <w:r w:rsidRPr="005C5ACB">
        <w:rPr>
          <w:color w:val="000000" w:themeColor="text1"/>
        </w:rPr>
        <w:t xml:space="preserve">, the Court stated that “[s]uch a definition necessarily underlies” the Court’s earlier decision in </w:t>
      </w:r>
      <w:r w:rsidRPr="005C5ACB">
        <w:rPr>
          <w:i/>
          <w:color w:val="000000" w:themeColor="text1"/>
        </w:rPr>
        <w:t>SEC v. C.M. Joiner Leasing Corp.</w:t>
      </w:r>
      <w:r w:rsidRPr="005C5ACB">
        <w:rPr>
          <w:color w:val="000000" w:themeColor="text1"/>
        </w:rPr>
        <w:t xml:space="preserve">, 320 U.S. 344 (1943). In </w:t>
      </w:r>
      <w:r w:rsidRPr="005C5ACB">
        <w:rPr>
          <w:i/>
          <w:color w:val="000000" w:themeColor="text1"/>
        </w:rPr>
        <w:t>Joiner</w:t>
      </w:r>
      <w:r w:rsidRPr="005C5ACB">
        <w:rPr>
          <w:color w:val="000000" w:themeColor="text1"/>
        </w:rPr>
        <w:t xml:space="preserve">, the Court held that the offer of oil and gas leaseholders, which would be drilled by the offeror for the buyer, was the offer of a security. In rejecting the claim that these rights were strictly leasehold interests, the Court foreshadowed the later opinion in </w:t>
      </w:r>
      <w:r w:rsidRPr="005C5ACB">
        <w:rPr>
          <w:i/>
          <w:color w:val="000000" w:themeColor="text1"/>
        </w:rPr>
        <w:t>Howey</w:t>
      </w:r>
      <w:r w:rsidRPr="005C5ACB">
        <w:rPr>
          <w:color w:val="000000" w:themeColor="text1"/>
        </w:rPr>
        <w:t xml:space="preserve">. The Court also has relied on the </w:t>
      </w:r>
      <w:r w:rsidRPr="005C5ACB">
        <w:rPr>
          <w:i/>
          <w:color w:val="000000" w:themeColor="text1"/>
        </w:rPr>
        <w:t>Howey</w:t>
      </w:r>
      <w:r w:rsidRPr="005C5ACB">
        <w:rPr>
          <w:color w:val="000000" w:themeColor="text1"/>
        </w:rPr>
        <w:t xml:space="preserve"> definition of the term “investment contract” in subsequent decisions, such as when it held that a variable annuity contract is a security (</w:t>
      </w:r>
      <w:r w:rsidRPr="005C5ACB">
        <w:rPr>
          <w:i/>
          <w:color w:val="000000" w:themeColor="text1"/>
        </w:rPr>
        <w:t>see SEC v. Variable Annuity Life Ins. Co. of America</w:t>
      </w:r>
      <w:r w:rsidRPr="005C5ACB">
        <w:rPr>
          <w:color w:val="000000" w:themeColor="text1"/>
        </w:rPr>
        <w:t>, 359 U.S. 65, 72 n. 13 (1959)) and when it held that withdrawable capital shares in a state-chartered savings and loan association were securities rather than certificates of deposit (</w:t>
      </w:r>
      <w:r w:rsidRPr="005C5ACB">
        <w:rPr>
          <w:i/>
          <w:color w:val="000000" w:themeColor="text1"/>
        </w:rPr>
        <w:t>see Tcherepnin v. Knight</w:t>
      </w:r>
      <w:r w:rsidRPr="005C5ACB">
        <w:rPr>
          <w:color w:val="000000" w:themeColor="text1"/>
        </w:rPr>
        <w:t xml:space="preserve">, 389 U.S. 332, 338 (1967). </w:t>
      </w:r>
      <w:r w:rsidRPr="005C5ACB">
        <w:rPr>
          <w:i/>
          <w:color w:val="000000" w:themeColor="text1"/>
        </w:rPr>
        <w:t>See also SEC v. United Benefit Life Ins. Co.</w:t>
      </w:r>
      <w:r w:rsidRPr="005C5ACB">
        <w:rPr>
          <w:color w:val="000000" w:themeColor="text1"/>
        </w:rPr>
        <w:t xml:space="preserve">, 387 U.S. 202 (1967) (holding that the accumulation portion of a flexible fund variable annuity contract was an investment contract for purposes of the Securities Act). </w:t>
      </w:r>
    </w:p>
  </w:footnote>
  <w:footnote w:id="21">
    <w:p w14:paraId="26707784" w14:textId="77777777" w:rsidR="001414CD" w:rsidRPr="005C5ACB" w:rsidRDefault="001414CD" w:rsidP="00C42E12">
      <w:pPr>
        <w:pStyle w:val="FootnoteText"/>
        <w:rPr>
          <w:color w:val="000000" w:themeColor="text1"/>
        </w:rPr>
      </w:pPr>
      <w:r w:rsidRPr="005C5ACB">
        <w:rPr>
          <w:rStyle w:val="FootnoteReference"/>
          <w:color w:val="000000" w:themeColor="text1"/>
        </w:rPr>
        <w:footnoteRef/>
      </w:r>
      <w:r w:rsidRPr="005C5ACB">
        <w:rPr>
          <w:color w:val="000000" w:themeColor="text1"/>
        </w:rPr>
        <w:t xml:space="preserve"> </w:t>
      </w:r>
      <w:r w:rsidRPr="005C5ACB">
        <w:rPr>
          <w:i/>
          <w:color w:val="000000" w:themeColor="text1"/>
        </w:rPr>
        <w:t>Forman</w:t>
      </w:r>
      <w:r w:rsidRPr="005C5ACB">
        <w:rPr>
          <w:color w:val="000000" w:themeColor="text1"/>
        </w:rPr>
        <w:t>, 421 U.S. at 852 n.16.</w:t>
      </w:r>
    </w:p>
  </w:footnote>
  <w:footnote w:id="22">
    <w:p w14:paraId="43A5C5A4" w14:textId="3DBAF29A" w:rsidR="001414CD" w:rsidRPr="005C5ACB" w:rsidRDefault="001414CD" w:rsidP="00C42E12">
      <w:pPr>
        <w:rPr>
          <w:color w:val="000000" w:themeColor="text1"/>
          <w:sz w:val="20"/>
          <w:szCs w:val="20"/>
        </w:rPr>
      </w:pPr>
      <w:r w:rsidRPr="005C5ACB">
        <w:rPr>
          <w:rStyle w:val="FootnoteReference"/>
          <w:color w:val="000000" w:themeColor="text1"/>
          <w:sz w:val="20"/>
          <w:szCs w:val="20"/>
        </w:rPr>
        <w:footnoteRef/>
      </w:r>
      <w:r w:rsidRPr="005C5ACB">
        <w:rPr>
          <w:color w:val="000000" w:themeColor="text1"/>
          <w:sz w:val="20"/>
          <w:szCs w:val="20"/>
        </w:rPr>
        <w:t xml:space="preserve"> 328 U.S. 299; </w:t>
      </w:r>
      <w:r w:rsidRPr="005C5ACB">
        <w:rPr>
          <w:i/>
          <w:color w:val="000000" w:themeColor="text1"/>
          <w:sz w:val="20"/>
          <w:szCs w:val="20"/>
        </w:rPr>
        <w:t>see also</w:t>
      </w:r>
      <w:r w:rsidRPr="005C5ACB">
        <w:rPr>
          <w:color w:val="000000" w:themeColor="text1"/>
          <w:sz w:val="20"/>
          <w:szCs w:val="20"/>
        </w:rPr>
        <w:t xml:space="preserve"> </w:t>
      </w:r>
      <w:r w:rsidRPr="005C5ACB">
        <w:rPr>
          <w:i/>
          <w:color w:val="000000" w:themeColor="text1"/>
          <w:sz w:val="20"/>
          <w:szCs w:val="20"/>
        </w:rPr>
        <w:t>SEC v. Edwards</w:t>
      </w:r>
      <w:r w:rsidRPr="005C5ACB">
        <w:rPr>
          <w:color w:val="000000" w:themeColor="text1"/>
          <w:sz w:val="20"/>
          <w:szCs w:val="20"/>
        </w:rPr>
        <w:t xml:space="preserve">, 540 U.S. 389, 393 (2004) (reaffirming the </w:t>
      </w:r>
      <w:r w:rsidRPr="005C5ACB">
        <w:rPr>
          <w:i/>
          <w:color w:val="000000" w:themeColor="text1"/>
          <w:sz w:val="20"/>
          <w:szCs w:val="20"/>
        </w:rPr>
        <w:t xml:space="preserve">Howey </w:t>
      </w:r>
      <w:r w:rsidRPr="005C5ACB">
        <w:rPr>
          <w:color w:val="000000" w:themeColor="text1"/>
          <w:sz w:val="20"/>
          <w:szCs w:val="20"/>
        </w:rPr>
        <w:t xml:space="preserve">analysis); </w:t>
      </w:r>
      <w:r w:rsidRPr="005C5ACB">
        <w:rPr>
          <w:i/>
          <w:color w:val="000000" w:themeColor="text1"/>
          <w:sz w:val="20"/>
          <w:szCs w:val="20"/>
        </w:rPr>
        <w:t>see</w:t>
      </w:r>
      <w:r w:rsidRPr="005C5ACB">
        <w:rPr>
          <w:color w:val="000000" w:themeColor="text1"/>
          <w:sz w:val="20"/>
          <w:szCs w:val="20"/>
        </w:rPr>
        <w:t xml:space="preserve"> </w:t>
      </w:r>
      <w:r w:rsidRPr="005C5ACB">
        <w:rPr>
          <w:i/>
          <w:color w:val="000000" w:themeColor="text1"/>
          <w:sz w:val="20"/>
          <w:szCs w:val="20"/>
        </w:rPr>
        <w:t>also</w:t>
      </w:r>
      <w:r w:rsidRPr="005C5ACB">
        <w:rPr>
          <w:color w:val="000000" w:themeColor="text1"/>
          <w:sz w:val="20"/>
          <w:szCs w:val="20"/>
        </w:rPr>
        <w:t xml:space="preserve"> </w:t>
      </w:r>
      <w:r w:rsidRPr="005C5ACB">
        <w:rPr>
          <w:i/>
          <w:color w:val="000000" w:themeColor="text1"/>
          <w:sz w:val="20"/>
          <w:szCs w:val="20"/>
        </w:rPr>
        <w:t>Forman</w:t>
      </w:r>
      <w:r w:rsidRPr="005C5ACB">
        <w:rPr>
          <w:color w:val="000000" w:themeColor="text1"/>
          <w:sz w:val="20"/>
          <w:szCs w:val="20"/>
        </w:rPr>
        <w:t xml:space="preserve">, 421 U.S. at 852-53 (The “touchstone” of an investment contract “is the presence of an investment in a common venture premised on a reasonable expectation of profits to be derived from the entrepreneurial or managerial efforts of others.”). </w:t>
      </w:r>
    </w:p>
  </w:footnote>
  <w:footnote w:id="23">
    <w:p w14:paraId="499BF161" w14:textId="77777777" w:rsidR="001414CD" w:rsidRPr="005C5ACB" w:rsidRDefault="001414CD" w:rsidP="00C42E12">
      <w:pPr>
        <w:pStyle w:val="FootnoteText"/>
        <w:rPr>
          <w:color w:val="000000" w:themeColor="text1"/>
        </w:rPr>
      </w:pPr>
      <w:r w:rsidRPr="005C5ACB">
        <w:rPr>
          <w:rStyle w:val="FootnoteReference"/>
          <w:color w:val="000000" w:themeColor="text1"/>
        </w:rPr>
        <w:footnoteRef/>
      </w:r>
      <w:r w:rsidRPr="005C5ACB">
        <w:rPr>
          <w:color w:val="000000" w:themeColor="text1"/>
        </w:rPr>
        <w:t xml:space="preserve"> 439 U.S. 551 (1979). </w:t>
      </w:r>
    </w:p>
  </w:footnote>
  <w:footnote w:id="24">
    <w:p w14:paraId="7E87F70B" w14:textId="77777777" w:rsidR="001414CD" w:rsidRPr="005C5ACB" w:rsidRDefault="001414CD" w:rsidP="00C42E12">
      <w:pPr>
        <w:pStyle w:val="FootnoteText"/>
        <w:rPr>
          <w:i/>
          <w:color w:val="000000" w:themeColor="text1"/>
        </w:rPr>
      </w:pPr>
      <w:r w:rsidRPr="005C5ACB">
        <w:rPr>
          <w:rStyle w:val="FootnoteReference"/>
          <w:color w:val="000000" w:themeColor="text1"/>
        </w:rPr>
        <w:footnoteRef/>
      </w:r>
      <w:r w:rsidRPr="005C5ACB">
        <w:rPr>
          <w:color w:val="000000" w:themeColor="text1"/>
        </w:rPr>
        <w:t xml:space="preserve"> </w:t>
      </w:r>
      <w:r w:rsidRPr="005C5ACB">
        <w:rPr>
          <w:i/>
          <w:color w:val="000000" w:themeColor="text1"/>
        </w:rPr>
        <w:t xml:space="preserve">Id. </w:t>
      </w:r>
      <w:r w:rsidRPr="005C5ACB">
        <w:rPr>
          <w:color w:val="000000" w:themeColor="text1"/>
        </w:rPr>
        <w:t>at 559-62</w:t>
      </w:r>
      <w:r w:rsidRPr="005C5ACB">
        <w:rPr>
          <w:i/>
          <w:color w:val="000000" w:themeColor="text1"/>
        </w:rPr>
        <w:t>.</w:t>
      </w:r>
    </w:p>
  </w:footnote>
  <w:footnote w:id="25">
    <w:p w14:paraId="411D54E9" w14:textId="77777777" w:rsidR="001414CD" w:rsidRPr="005C5ACB" w:rsidRDefault="001414CD" w:rsidP="00C42E12">
      <w:pPr>
        <w:pStyle w:val="FootnoteText"/>
        <w:rPr>
          <w:color w:val="000000" w:themeColor="text1"/>
        </w:rPr>
      </w:pPr>
      <w:r w:rsidRPr="005C5ACB">
        <w:rPr>
          <w:rStyle w:val="FootnoteReference"/>
          <w:color w:val="000000" w:themeColor="text1"/>
        </w:rPr>
        <w:footnoteRef/>
      </w:r>
      <w:r w:rsidRPr="005C5ACB">
        <w:rPr>
          <w:color w:val="000000" w:themeColor="text1"/>
        </w:rPr>
        <w:t xml:space="preserve"> </w:t>
      </w:r>
      <w:r w:rsidRPr="005C5ACB">
        <w:rPr>
          <w:i/>
          <w:color w:val="000000" w:themeColor="text1"/>
        </w:rPr>
        <w:t>See Forman</w:t>
      </w:r>
      <w:r w:rsidRPr="005C5ACB">
        <w:rPr>
          <w:color w:val="000000" w:themeColor="text1"/>
        </w:rPr>
        <w:t xml:space="preserve">, 421 U.S. at 852-53. </w:t>
      </w:r>
    </w:p>
  </w:footnote>
  <w:footnote w:id="26">
    <w:p w14:paraId="1D4F487C" w14:textId="77777777" w:rsidR="001414CD" w:rsidRPr="005C5ACB" w:rsidRDefault="001414CD" w:rsidP="00C42E12">
      <w:pPr>
        <w:pStyle w:val="FootnoteText"/>
        <w:rPr>
          <w:color w:val="000000" w:themeColor="text1"/>
        </w:rPr>
      </w:pPr>
      <w:r w:rsidRPr="005C5ACB">
        <w:rPr>
          <w:rStyle w:val="FootnoteReference"/>
          <w:color w:val="000000" w:themeColor="text1"/>
        </w:rPr>
        <w:footnoteRef/>
      </w:r>
      <w:r w:rsidRPr="005C5ACB">
        <w:rPr>
          <w:color w:val="000000" w:themeColor="text1"/>
        </w:rPr>
        <w:t xml:space="preserve"> </w:t>
      </w:r>
      <w:r w:rsidRPr="005C5ACB">
        <w:rPr>
          <w:i/>
          <w:color w:val="000000" w:themeColor="text1"/>
        </w:rPr>
        <w:t>Id.</w:t>
      </w:r>
      <w:r w:rsidRPr="005C5ACB">
        <w:rPr>
          <w:color w:val="000000" w:themeColor="text1"/>
        </w:rPr>
        <w:t xml:space="preserve"> at 853. </w:t>
      </w:r>
    </w:p>
  </w:footnote>
  <w:footnote w:id="27">
    <w:p w14:paraId="79451FCC" w14:textId="70A8A1D1" w:rsidR="001414CD" w:rsidRPr="005C5ACB" w:rsidRDefault="001414CD" w:rsidP="00C42E12">
      <w:pPr>
        <w:pStyle w:val="FootnoteText"/>
        <w:rPr>
          <w:i/>
          <w:color w:val="000000" w:themeColor="text1"/>
        </w:rPr>
      </w:pPr>
      <w:r w:rsidRPr="005C5ACB">
        <w:rPr>
          <w:rStyle w:val="FootnoteReference"/>
          <w:color w:val="000000" w:themeColor="text1"/>
        </w:rPr>
        <w:footnoteRef/>
      </w:r>
      <w:r w:rsidRPr="005C5ACB">
        <w:rPr>
          <w:color w:val="000000" w:themeColor="text1"/>
        </w:rPr>
        <w:t xml:space="preserve"> </w:t>
      </w:r>
      <w:r w:rsidRPr="005C5ACB">
        <w:rPr>
          <w:i/>
          <w:color w:val="000000" w:themeColor="text1"/>
        </w:rPr>
        <w:t>Howey</w:t>
      </w:r>
      <w:r w:rsidRPr="005C5ACB">
        <w:rPr>
          <w:color w:val="000000" w:themeColor="text1"/>
        </w:rPr>
        <w:t xml:space="preserve">, </w:t>
      </w:r>
      <w:r w:rsidRPr="005C5ACB">
        <w:rPr>
          <w:i/>
          <w:color w:val="000000" w:themeColor="text1"/>
        </w:rPr>
        <w:t>supra</w:t>
      </w:r>
      <w:r w:rsidRPr="005C5ACB">
        <w:rPr>
          <w:color w:val="000000" w:themeColor="text1"/>
        </w:rPr>
        <w:t xml:space="preserve"> note 6, at 299. </w:t>
      </w:r>
      <w:r w:rsidRPr="005C5ACB">
        <w:rPr>
          <w:i/>
          <w:color w:val="000000" w:themeColor="text1"/>
        </w:rPr>
        <w:t xml:space="preserve"> </w:t>
      </w:r>
    </w:p>
  </w:footnote>
  <w:footnote w:id="28">
    <w:p w14:paraId="6BE1DC5A" w14:textId="77777777" w:rsidR="001414CD" w:rsidRPr="005C5ACB" w:rsidRDefault="001414CD" w:rsidP="00C42E12">
      <w:pPr>
        <w:pStyle w:val="FootnoteText"/>
        <w:rPr>
          <w:color w:val="000000" w:themeColor="text1"/>
        </w:rPr>
      </w:pPr>
      <w:r w:rsidRPr="005C5ACB">
        <w:rPr>
          <w:rStyle w:val="FootnoteReference"/>
          <w:color w:val="000000" w:themeColor="text1"/>
        </w:rPr>
        <w:footnoteRef/>
      </w:r>
      <w:r w:rsidRPr="005C5ACB">
        <w:rPr>
          <w:color w:val="000000" w:themeColor="text1"/>
        </w:rPr>
        <w:t xml:space="preserve"> </w:t>
      </w:r>
      <w:r w:rsidRPr="005C5ACB">
        <w:rPr>
          <w:i/>
          <w:color w:val="000000" w:themeColor="text1"/>
        </w:rPr>
        <w:t>Id.</w:t>
      </w:r>
      <w:r w:rsidRPr="005C5ACB">
        <w:rPr>
          <w:color w:val="000000" w:themeColor="text1"/>
        </w:rPr>
        <w:t xml:space="preserve"> </w:t>
      </w:r>
    </w:p>
  </w:footnote>
  <w:footnote w:id="29">
    <w:p w14:paraId="52CF63A7" w14:textId="77777777" w:rsidR="001414CD" w:rsidRPr="005C5ACB" w:rsidRDefault="001414CD" w:rsidP="00C42E12">
      <w:pPr>
        <w:pStyle w:val="FootnoteText"/>
        <w:rPr>
          <w:color w:val="000000" w:themeColor="text1"/>
        </w:rPr>
      </w:pPr>
      <w:r w:rsidRPr="005C5ACB">
        <w:rPr>
          <w:rStyle w:val="FootnoteReference"/>
          <w:color w:val="000000" w:themeColor="text1"/>
        </w:rPr>
        <w:footnoteRef/>
      </w:r>
      <w:r w:rsidRPr="005C5ACB">
        <w:rPr>
          <w:color w:val="000000" w:themeColor="text1"/>
        </w:rPr>
        <w:t xml:space="preserve"> </w:t>
      </w:r>
      <w:r w:rsidRPr="005C5ACB">
        <w:rPr>
          <w:i/>
          <w:color w:val="000000" w:themeColor="text1"/>
        </w:rPr>
        <w:t>Tcherepnin</w:t>
      </w:r>
      <w:r w:rsidRPr="005C5ACB">
        <w:rPr>
          <w:color w:val="000000" w:themeColor="text1"/>
        </w:rPr>
        <w:t>, 389 U.S. at 336.</w:t>
      </w:r>
    </w:p>
  </w:footnote>
  <w:footnote w:id="30">
    <w:p w14:paraId="792EDA5A" w14:textId="1F6484B4" w:rsidR="001414CD" w:rsidRPr="005C5ACB" w:rsidRDefault="001414CD" w:rsidP="00C42E12">
      <w:pPr>
        <w:pStyle w:val="FootnoteText"/>
        <w:rPr>
          <w:color w:val="000000" w:themeColor="text1"/>
        </w:rPr>
      </w:pPr>
      <w:r w:rsidRPr="005C5ACB">
        <w:rPr>
          <w:rStyle w:val="FootnoteReference"/>
          <w:color w:val="000000" w:themeColor="text1"/>
        </w:rPr>
        <w:footnoteRef/>
      </w:r>
      <w:r w:rsidRPr="005C5ACB">
        <w:rPr>
          <w:color w:val="000000" w:themeColor="text1"/>
        </w:rPr>
        <w:t xml:space="preserve"> </w:t>
      </w:r>
      <w:r w:rsidRPr="005C5ACB">
        <w:rPr>
          <w:i/>
          <w:color w:val="000000" w:themeColor="text1"/>
        </w:rPr>
        <w:t>Howey</w:t>
      </w:r>
      <w:r w:rsidRPr="005C5ACB">
        <w:rPr>
          <w:color w:val="000000" w:themeColor="text1"/>
        </w:rPr>
        <w:t xml:space="preserve">, </w:t>
      </w:r>
      <w:r w:rsidRPr="005C5ACB">
        <w:rPr>
          <w:i/>
          <w:color w:val="000000" w:themeColor="text1"/>
        </w:rPr>
        <w:t>supra</w:t>
      </w:r>
      <w:r w:rsidRPr="005C5ACB">
        <w:rPr>
          <w:color w:val="000000" w:themeColor="text1"/>
        </w:rPr>
        <w:t xml:space="preserve"> note 6, at 299.</w:t>
      </w:r>
    </w:p>
  </w:footnote>
  <w:footnote w:id="31">
    <w:p w14:paraId="157BA2FD" w14:textId="77777777" w:rsidR="001414CD" w:rsidRPr="005C5ACB" w:rsidRDefault="001414CD" w:rsidP="00C42E12">
      <w:pPr>
        <w:pStyle w:val="FootnoteText"/>
        <w:rPr>
          <w:color w:val="000000" w:themeColor="text1"/>
        </w:rPr>
      </w:pPr>
      <w:r w:rsidRPr="005C5ACB">
        <w:rPr>
          <w:rStyle w:val="FootnoteReference"/>
          <w:color w:val="000000" w:themeColor="text1"/>
        </w:rPr>
        <w:footnoteRef/>
      </w:r>
      <w:r w:rsidRPr="005C5ACB">
        <w:rPr>
          <w:color w:val="000000" w:themeColor="text1"/>
        </w:rPr>
        <w:t xml:space="preserve"> </w:t>
      </w:r>
      <w:r w:rsidRPr="005C5ACB">
        <w:rPr>
          <w:i/>
          <w:color w:val="000000" w:themeColor="text1"/>
        </w:rPr>
        <w:t>Id.</w:t>
      </w:r>
    </w:p>
  </w:footnote>
  <w:footnote w:id="32">
    <w:p w14:paraId="3D4D2464" w14:textId="77777777" w:rsidR="001414CD" w:rsidRPr="005C5ACB" w:rsidRDefault="001414CD" w:rsidP="00C42E12">
      <w:pPr>
        <w:pStyle w:val="FootnoteText"/>
        <w:rPr>
          <w:color w:val="000000" w:themeColor="text1"/>
        </w:rPr>
      </w:pPr>
      <w:r w:rsidRPr="005C5ACB">
        <w:rPr>
          <w:rStyle w:val="FootnoteReference"/>
          <w:color w:val="000000" w:themeColor="text1"/>
        </w:rPr>
        <w:footnoteRef/>
      </w:r>
      <w:r w:rsidRPr="005C5ACB">
        <w:rPr>
          <w:color w:val="000000" w:themeColor="text1"/>
        </w:rPr>
        <w:t xml:space="preserve"> </w:t>
      </w:r>
      <w:r w:rsidRPr="005C5ACB">
        <w:rPr>
          <w:i/>
          <w:color w:val="000000" w:themeColor="text1"/>
        </w:rPr>
        <w:t>SEC v. Shavers</w:t>
      </w:r>
      <w:r w:rsidRPr="005C5ACB">
        <w:rPr>
          <w:color w:val="000000" w:themeColor="text1"/>
        </w:rPr>
        <w:t xml:space="preserve">, No. 4:13-CV-416 (E.D. Tex. Aug. 6, 2013), adhered to on reconsideration, No. 4:13-CV-416 (E.D. Tex. Aug. 26, 2014). </w:t>
      </w:r>
    </w:p>
  </w:footnote>
  <w:footnote w:id="33">
    <w:p w14:paraId="5379EC6A" w14:textId="77777777" w:rsidR="001414CD" w:rsidRPr="005C5ACB" w:rsidRDefault="001414CD" w:rsidP="00C42E12">
      <w:pPr>
        <w:pStyle w:val="FootnoteText"/>
        <w:rPr>
          <w:i/>
          <w:color w:val="000000" w:themeColor="text1"/>
        </w:rPr>
      </w:pPr>
      <w:r w:rsidRPr="005C5ACB">
        <w:rPr>
          <w:rStyle w:val="FootnoteReference"/>
          <w:color w:val="000000" w:themeColor="text1"/>
        </w:rPr>
        <w:footnoteRef/>
      </w:r>
      <w:r w:rsidRPr="005C5ACB">
        <w:rPr>
          <w:color w:val="000000" w:themeColor="text1"/>
        </w:rPr>
        <w:t xml:space="preserve"> </w:t>
      </w:r>
      <w:r w:rsidRPr="005C5ACB">
        <w:rPr>
          <w:i/>
          <w:color w:val="000000" w:themeColor="text1"/>
        </w:rPr>
        <w:t xml:space="preserve">Id. </w:t>
      </w:r>
    </w:p>
  </w:footnote>
  <w:footnote w:id="34">
    <w:p w14:paraId="076F816B" w14:textId="77777777" w:rsidR="001414CD" w:rsidRPr="005C5ACB" w:rsidRDefault="001414CD" w:rsidP="00C42E12">
      <w:pPr>
        <w:pStyle w:val="FootnoteText"/>
        <w:rPr>
          <w:color w:val="000000" w:themeColor="text1"/>
        </w:rPr>
      </w:pPr>
      <w:r w:rsidRPr="005C5ACB">
        <w:rPr>
          <w:rStyle w:val="FootnoteReference"/>
          <w:color w:val="000000" w:themeColor="text1"/>
        </w:rPr>
        <w:footnoteRef/>
      </w:r>
      <w:r w:rsidRPr="005C5ACB">
        <w:rPr>
          <w:color w:val="000000" w:themeColor="text1"/>
        </w:rPr>
        <w:t xml:space="preserve"> </w:t>
      </w:r>
      <w:r w:rsidRPr="005C5ACB">
        <w:rPr>
          <w:i/>
          <w:color w:val="000000" w:themeColor="text1"/>
        </w:rPr>
        <w:t>Id.</w:t>
      </w:r>
      <w:r w:rsidRPr="005C5ACB">
        <w:rPr>
          <w:color w:val="000000" w:themeColor="text1"/>
        </w:rPr>
        <w:t xml:space="preserve"> at 416-17. </w:t>
      </w:r>
    </w:p>
  </w:footnote>
  <w:footnote w:id="35">
    <w:p w14:paraId="5BC4905B" w14:textId="77777777" w:rsidR="001414CD" w:rsidRPr="005C5ACB" w:rsidRDefault="001414CD" w:rsidP="00C42E12">
      <w:pPr>
        <w:pStyle w:val="FootnoteText"/>
        <w:rPr>
          <w:i/>
          <w:color w:val="000000" w:themeColor="text1"/>
        </w:rPr>
      </w:pPr>
      <w:r w:rsidRPr="005C5ACB">
        <w:rPr>
          <w:rStyle w:val="FootnoteReference"/>
          <w:color w:val="000000" w:themeColor="text1"/>
        </w:rPr>
        <w:footnoteRef/>
      </w:r>
      <w:r w:rsidRPr="005C5ACB">
        <w:rPr>
          <w:color w:val="000000" w:themeColor="text1"/>
        </w:rPr>
        <w:t xml:space="preserve"> </w:t>
      </w:r>
      <w:r w:rsidRPr="005C5ACB">
        <w:rPr>
          <w:i/>
          <w:color w:val="000000" w:themeColor="text1"/>
        </w:rPr>
        <w:t xml:space="preserve">Id. </w:t>
      </w:r>
    </w:p>
  </w:footnote>
  <w:footnote w:id="36">
    <w:p w14:paraId="1EE2CC86" w14:textId="14FB6E6B" w:rsidR="001414CD" w:rsidRPr="005C5ACB" w:rsidRDefault="001414CD" w:rsidP="00C42E12">
      <w:pPr>
        <w:pStyle w:val="FootnoteText"/>
        <w:rPr>
          <w:color w:val="000000" w:themeColor="text1"/>
        </w:rPr>
      </w:pPr>
      <w:r w:rsidRPr="005C5ACB">
        <w:rPr>
          <w:rStyle w:val="FootnoteReference"/>
          <w:color w:val="000000" w:themeColor="text1"/>
        </w:rPr>
        <w:footnoteRef/>
      </w:r>
      <w:r w:rsidRPr="005C5ACB">
        <w:rPr>
          <w:color w:val="000000" w:themeColor="text1"/>
        </w:rPr>
        <w:t xml:space="preserve"> Office of Legislative Affairs, U.S Department of Homeland Security, “Responses to Chairman Carper and Senator Coburn’s August 12, 2013 Letter Regarding Virtual Currencies.” November 12, 2013. </w:t>
      </w:r>
      <w:hyperlink r:id="rId2" w:history="1">
        <w:r w:rsidRPr="005C5ACB">
          <w:rPr>
            <w:rStyle w:val="Hyperlink"/>
            <w:color w:val="000000" w:themeColor="text1"/>
            <w:u w:val="none"/>
          </w:rPr>
          <w:t>https://online.wsj.com/public/resources/documents/VCurrenty111813.pdf</w:t>
        </w:r>
      </w:hyperlink>
      <w:r w:rsidRPr="005C5ACB">
        <w:rPr>
          <w:color w:val="000000" w:themeColor="text1"/>
        </w:rPr>
        <w:t xml:space="preserve"> </w:t>
      </w:r>
    </w:p>
  </w:footnote>
  <w:footnote w:id="37">
    <w:p w14:paraId="7DCD05DF" w14:textId="77777777" w:rsidR="001414CD" w:rsidRPr="005C5ACB" w:rsidRDefault="001414CD" w:rsidP="00C42E12">
      <w:pPr>
        <w:pStyle w:val="FootnoteText"/>
        <w:rPr>
          <w:color w:val="000000" w:themeColor="text1"/>
        </w:rPr>
      </w:pPr>
      <w:r w:rsidRPr="005C5ACB">
        <w:rPr>
          <w:rStyle w:val="FootnoteReference"/>
          <w:color w:val="000000" w:themeColor="text1"/>
        </w:rPr>
        <w:footnoteRef/>
      </w:r>
      <w:r w:rsidRPr="005C5ACB">
        <w:rPr>
          <w:color w:val="000000" w:themeColor="text1"/>
        </w:rPr>
        <w:t xml:space="preserve"> </w:t>
      </w:r>
      <w:r w:rsidRPr="005C5ACB">
        <w:rPr>
          <w:i/>
          <w:color w:val="000000" w:themeColor="text1"/>
        </w:rPr>
        <w:t>See e.g.</w:t>
      </w:r>
      <w:r w:rsidRPr="005C5ACB">
        <w:rPr>
          <w:color w:val="000000" w:themeColor="text1"/>
        </w:rPr>
        <w:t xml:space="preserve">, Matter of Erik T. Voorhees, Adm. Rpoc. File No. 3-15902 (June 3, 2014) (determining Mr. Voorhees solicitation for shares in two of his companies in exchange for Bitcoin without registering the offerings violated Section 5(a) and 5(c) of the Securities Act); </w:t>
      </w:r>
      <w:r w:rsidRPr="005C5ACB">
        <w:rPr>
          <w:i/>
          <w:color w:val="000000" w:themeColor="text1"/>
        </w:rPr>
        <w:t xml:space="preserve">see also </w:t>
      </w:r>
      <w:r w:rsidRPr="005C5ACB">
        <w:rPr>
          <w:color w:val="000000" w:themeColor="text1"/>
        </w:rPr>
        <w:t xml:space="preserve">In the Matter of BTC Trading Corp. Adm. Rpoc. File No. 3-16307 (December 8, 2014) (finding the owner of two online cryptocurrency exchanges violated the Securities Act by failing to register either as an exchange or a broker-dealer). </w:t>
      </w:r>
    </w:p>
  </w:footnote>
  <w:footnote w:id="38">
    <w:p w14:paraId="3D672A02" w14:textId="68E96FE6" w:rsidR="001414CD" w:rsidRPr="005C5ACB" w:rsidRDefault="001414CD" w:rsidP="00C42E12">
      <w:pPr>
        <w:pStyle w:val="FootnoteText"/>
        <w:rPr>
          <w:color w:val="000000" w:themeColor="text1"/>
        </w:rPr>
      </w:pPr>
      <w:r w:rsidRPr="005C5ACB">
        <w:rPr>
          <w:rStyle w:val="FootnoteReference"/>
          <w:color w:val="000000" w:themeColor="text1"/>
        </w:rPr>
        <w:footnoteRef/>
      </w:r>
      <w:r w:rsidRPr="005C5ACB">
        <w:rPr>
          <w:color w:val="000000" w:themeColor="text1"/>
        </w:rPr>
        <w:t xml:space="preserve"> </w:t>
      </w:r>
      <w:r w:rsidRPr="005C5ACB">
        <w:rPr>
          <w:i/>
          <w:color w:val="000000" w:themeColor="text1"/>
        </w:rPr>
        <w:t>The DAO Report</w:t>
      </w:r>
      <w:r w:rsidRPr="005C5ACB">
        <w:rPr>
          <w:color w:val="000000" w:themeColor="text1"/>
        </w:rPr>
        <w:t xml:space="preserve">, </w:t>
      </w:r>
      <w:r w:rsidRPr="005C5ACB">
        <w:rPr>
          <w:i/>
          <w:color w:val="000000" w:themeColor="text1"/>
        </w:rPr>
        <w:t>supra</w:t>
      </w:r>
      <w:r w:rsidRPr="005C5ACB">
        <w:rPr>
          <w:color w:val="000000" w:themeColor="text1"/>
        </w:rPr>
        <w:t xml:space="preserve"> note 4.</w:t>
      </w:r>
    </w:p>
  </w:footnote>
  <w:footnote w:id="39">
    <w:p w14:paraId="39C35B14" w14:textId="77777777" w:rsidR="001414CD" w:rsidRPr="005C5ACB" w:rsidRDefault="001414CD" w:rsidP="00C42E12">
      <w:pPr>
        <w:pStyle w:val="FootnoteText"/>
        <w:rPr>
          <w:color w:val="000000" w:themeColor="text1"/>
        </w:rPr>
      </w:pPr>
      <w:r w:rsidRPr="005C5ACB">
        <w:rPr>
          <w:rStyle w:val="FootnoteReference"/>
          <w:color w:val="000000" w:themeColor="text1"/>
        </w:rPr>
        <w:footnoteRef/>
      </w:r>
      <w:r w:rsidRPr="005C5ACB">
        <w:rPr>
          <w:color w:val="000000" w:themeColor="text1"/>
        </w:rPr>
        <w:t xml:space="preserve"> </w:t>
      </w:r>
      <w:r w:rsidRPr="005C5ACB">
        <w:rPr>
          <w:i/>
          <w:color w:val="000000" w:themeColor="text1"/>
        </w:rPr>
        <w:t xml:space="preserve">Id. </w:t>
      </w:r>
      <w:r w:rsidRPr="005C5ACB">
        <w:rPr>
          <w:color w:val="000000" w:themeColor="text1"/>
        </w:rPr>
        <w:t>at 1.</w:t>
      </w:r>
    </w:p>
  </w:footnote>
  <w:footnote w:id="40">
    <w:p w14:paraId="0F3D039D" w14:textId="77777777" w:rsidR="001414CD" w:rsidRPr="005C5ACB" w:rsidRDefault="001414CD" w:rsidP="00FC3677">
      <w:pPr>
        <w:autoSpaceDE w:val="0"/>
        <w:autoSpaceDN w:val="0"/>
        <w:adjustRightInd w:val="0"/>
        <w:rPr>
          <w:rFonts w:eastAsiaTheme="minorHAnsi"/>
          <w:color w:val="000000"/>
          <w:sz w:val="20"/>
          <w:szCs w:val="20"/>
        </w:rPr>
      </w:pPr>
      <w:r w:rsidRPr="005C5ACB">
        <w:rPr>
          <w:rStyle w:val="FootnoteReference"/>
          <w:sz w:val="20"/>
          <w:szCs w:val="20"/>
        </w:rPr>
        <w:footnoteRef/>
      </w:r>
      <w:r w:rsidRPr="005C5ACB">
        <w:rPr>
          <w:sz w:val="20"/>
          <w:szCs w:val="20"/>
        </w:rPr>
        <w:t xml:space="preserve"> </w:t>
      </w:r>
      <w:r w:rsidRPr="005C5ACB">
        <w:rPr>
          <w:rFonts w:eastAsiaTheme="minorHAnsi"/>
          <w:i/>
          <w:iCs/>
          <w:color w:val="000000"/>
          <w:sz w:val="20"/>
          <w:szCs w:val="20"/>
        </w:rPr>
        <w:t>See generally</w:t>
      </w:r>
      <w:r w:rsidRPr="005C5ACB">
        <w:rPr>
          <w:rFonts w:eastAsiaTheme="minorHAnsi"/>
          <w:color w:val="000000"/>
          <w:sz w:val="20"/>
          <w:szCs w:val="20"/>
        </w:rPr>
        <w:t xml:space="preserve"> CHRISTOPH JENTZSCH, DECENTRALIZED AUTONOMOUS ORGANIZATION TO AUTOMATE</w:t>
      </w:r>
    </w:p>
    <w:p w14:paraId="32C062E5" w14:textId="77777777" w:rsidR="001414CD" w:rsidRPr="005C5ACB" w:rsidRDefault="001414CD" w:rsidP="00FC3677">
      <w:pPr>
        <w:autoSpaceDE w:val="0"/>
        <w:autoSpaceDN w:val="0"/>
        <w:adjustRightInd w:val="0"/>
        <w:rPr>
          <w:rFonts w:eastAsiaTheme="minorHAnsi"/>
          <w:color w:val="000000"/>
          <w:sz w:val="20"/>
          <w:szCs w:val="20"/>
        </w:rPr>
      </w:pPr>
      <w:r w:rsidRPr="005C5ACB">
        <w:rPr>
          <w:rFonts w:eastAsiaTheme="minorHAnsi"/>
          <w:color w:val="000000"/>
          <w:sz w:val="20"/>
          <w:szCs w:val="20"/>
        </w:rPr>
        <w:t>GOVERNANCE (2016), https://download.slock.it/public/</w:t>
      </w:r>
      <w:r w:rsidRPr="005C5ACB">
        <w:rPr>
          <w:rFonts w:eastAsiaTheme="minorHAnsi"/>
          <w:color w:val="252525"/>
          <w:sz w:val="20"/>
          <w:szCs w:val="20"/>
        </w:rPr>
        <w:t>DAO</w:t>
      </w:r>
      <w:r w:rsidRPr="005C5ACB">
        <w:rPr>
          <w:rFonts w:eastAsiaTheme="minorHAnsi"/>
          <w:color w:val="000000"/>
          <w:sz w:val="20"/>
          <w:szCs w:val="20"/>
        </w:rPr>
        <w:t>/WhitePaper.pdf (presenting a potential solution to</w:t>
      </w:r>
    </w:p>
    <w:p w14:paraId="199EC243" w14:textId="77777777" w:rsidR="001414CD" w:rsidRPr="005C5ACB" w:rsidRDefault="001414CD" w:rsidP="00FC3677">
      <w:pPr>
        <w:autoSpaceDE w:val="0"/>
        <w:autoSpaceDN w:val="0"/>
        <w:adjustRightInd w:val="0"/>
        <w:rPr>
          <w:rFonts w:eastAsiaTheme="minorHAnsi"/>
          <w:color w:val="000000"/>
          <w:sz w:val="20"/>
          <w:szCs w:val="20"/>
        </w:rPr>
      </w:pPr>
      <w:r w:rsidRPr="005C5ACB">
        <w:rPr>
          <w:rFonts w:eastAsiaTheme="minorHAnsi"/>
          <w:color w:val="000000"/>
          <w:sz w:val="20"/>
          <w:szCs w:val="20"/>
        </w:rPr>
        <w:t xml:space="preserve">conventional corporate governance issues through the use of Ethereum technology and </w:t>
      </w:r>
      <w:r w:rsidRPr="005C5ACB">
        <w:rPr>
          <w:rFonts w:eastAsiaTheme="minorHAnsi"/>
          <w:color w:val="252525"/>
          <w:sz w:val="20"/>
          <w:szCs w:val="20"/>
        </w:rPr>
        <w:t xml:space="preserve">DAO </w:t>
      </w:r>
      <w:r w:rsidRPr="005C5ACB">
        <w:rPr>
          <w:rFonts w:eastAsiaTheme="minorHAnsi"/>
          <w:color w:val="000000"/>
          <w:sz w:val="20"/>
          <w:szCs w:val="20"/>
        </w:rPr>
        <w:t>code function, formation,</w:t>
      </w:r>
    </w:p>
    <w:p w14:paraId="4256B39C" w14:textId="7A8F3A5C" w:rsidR="001414CD" w:rsidRPr="005C5ACB" w:rsidRDefault="001414CD" w:rsidP="00FC3677">
      <w:pPr>
        <w:pStyle w:val="FootnoteText"/>
      </w:pPr>
      <w:r w:rsidRPr="005C5ACB">
        <w:rPr>
          <w:rFonts w:eastAsiaTheme="minorHAnsi"/>
          <w:color w:val="000000"/>
        </w:rPr>
        <w:t>and governance features).</w:t>
      </w:r>
    </w:p>
  </w:footnote>
  <w:footnote w:id="41">
    <w:p w14:paraId="00359CD5" w14:textId="657FD0E8" w:rsidR="001414CD" w:rsidRPr="005C5ACB" w:rsidRDefault="001414CD" w:rsidP="00C42E12">
      <w:pPr>
        <w:pStyle w:val="FootnoteText"/>
        <w:rPr>
          <w:i/>
          <w:color w:val="000000" w:themeColor="text1"/>
        </w:rPr>
      </w:pPr>
      <w:r w:rsidRPr="005C5ACB">
        <w:rPr>
          <w:rStyle w:val="FootnoteReference"/>
          <w:color w:val="000000" w:themeColor="text1"/>
        </w:rPr>
        <w:footnoteRef/>
      </w:r>
      <w:r w:rsidRPr="005C5ACB">
        <w:rPr>
          <w:color w:val="000000" w:themeColor="text1"/>
        </w:rPr>
        <w:t xml:space="preserve"> </w:t>
      </w:r>
      <w:r w:rsidRPr="005C5ACB">
        <w:rPr>
          <w:i/>
          <w:color w:val="000000" w:themeColor="text1"/>
        </w:rPr>
        <w:t>The DAO Report</w:t>
      </w:r>
      <w:r w:rsidRPr="005C5ACB">
        <w:rPr>
          <w:color w:val="000000" w:themeColor="text1"/>
        </w:rPr>
        <w:t xml:space="preserve">, </w:t>
      </w:r>
      <w:r w:rsidRPr="005C5ACB">
        <w:rPr>
          <w:i/>
          <w:color w:val="000000" w:themeColor="text1"/>
        </w:rPr>
        <w:t>supra</w:t>
      </w:r>
      <w:r w:rsidRPr="005C5ACB">
        <w:rPr>
          <w:color w:val="000000" w:themeColor="text1"/>
        </w:rPr>
        <w:t xml:space="preserve"> note 4.</w:t>
      </w:r>
    </w:p>
  </w:footnote>
  <w:footnote w:id="42">
    <w:p w14:paraId="23CE3FD8" w14:textId="77777777" w:rsidR="001414CD" w:rsidRPr="005C5ACB" w:rsidRDefault="001414CD" w:rsidP="00C42E12">
      <w:pPr>
        <w:pStyle w:val="FootnoteText"/>
        <w:rPr>
          <w:i/>
          <w:color w:val="000000" w:themeColor="text1"/>
        </w:rPr>
      </w:pPr>
      <w:r w:rsidRPr="005C5ACB">
        <w:rPr>
          <w:rStyle w:val="FootnoteReference"/>
          <w:color w:val="000000" w:themeColor="text1"/>
        </w:rPr>
        <w:footnoteRef/>
      </w:r>
      <w:r w:rsidRPr="005C5ACB">
        <w:rPr>
          <w:color w:val="000000" w:themeColor="text1"/>
        </w:rPr>
        <w:t xml:space="preserve"> </w:t>
      </w:r>
      <w:r w:rsidRPr="005C5ACB">
        <w:rPr>
          <w:i/>
          <w:color w:val="000000" w:themeColor="text1"/>
        </w:rPr>
        <w:t xml:space="preserve">Id. </w:t>
      </w:r>
    </w:p>
  </w:footnote>
  <w:footnote w:id="43">
    <w:p w14:paraId="067185B7" w14:textId="61EB4217" w:rsidR="001414CD" w:rsidRPr="005C5ACB" w:rsidRDefault="001414CD" w:rsidP="00C42E12">
      <w:pPr>
        <w:pStyle w:val="FootnoteText"/>
        <w:rPr>
          <w:color w:val="000000" w:themeColor="text1"/>
        </w:rPr>
      </w:pPr>
      <w:r w:rsidRPr="005C5ACB">
        <w:rPr>
          <w:rStyle w:val="FootnoteReference"/>
          <w:color w:val="000000" w:themeColor="text1"/>
        </w:rPr>
        <w:footnoteRef/>
      </w:r>
      <w:r w:rsidRPr="005C5ACB">
        <w:rPr>
          <w:color w:val="000000" w:themeColor="text1"/>
        </w:rPr>
        <w:t xml:space="preserve"> </w:t>
      </w:r>
      <w:r w:rsidRPr="005C5ACB">
        <w:rPr>
          <w:i/>
          <w:color w:val="000000" w:themeColor="text1"/>
        </w:rPr>
        <w:t>Id.</w:t>
      </w:r>
      <w:r w:rsidRPr="005C5ACB">
        <w:rPr>
          <w:color w:val="000000" w:themeColor="text1"/>
        </w:rPr>
        <w:t xml:space="preserve"> at 12. </w:t>
      </w:r>
    </w:p>
  </w:footnote>
  <w:footnote w:id="44">
    <w:p w14:paraId="36CABF12" w14:textId="2909B08B" w:rsidR="001414CD" w:rsidRPr="005C5ACB" w:rsidRDefault="001414CD" w:rsidP="00C42E12">
      <w:pPr>
        <w:pStyle w:val="FootnoteText"/>
        <w:rPr>
          <w:i/>
          <w:color w:val="000000" w:themeColor="text1"/>
        </w:rPr>
      </w:pPr>
      <w:r w:rsidRPr="005C5ACB">
        <w:rPr>
          <w:rStyle w:val="FootnoteReference"/>
          <w:color w:val="000000" w:themeColor="text1"/>
        </w:rPr>
        <w:footnoteRef/>
      </w:r>
      <w:r w:rsidRPr="005C5ACB">
        <w:rPr>
          <w:color w:val="000000" w:themeColor="text1"/>
        </w:rPr>
        <w:t xml:space="preserve"> </w:t>
      </w:r>
      <w:r w:rsidRPr="005C5ACB">
        <w:rPr>
          <w:i/>
          <w:color w:val="000000" w:themeColor="text1"/>
        </w:rPr>
        <w:t>Id.</w:t>
      </w:r>
    </w:p>
  </w:footnote>
  <w:footnote w:id="45">
    <w:p w14:paraId="6E9B8424" w14:textId="6D31A88C" w:rsidR="001414CD" w:rsidRPr="005C5ACB" w:rsidRDefault="001414CD" w:rsidP="00C42E12">
      <w:pPr>
        <w:pStyle w:val="FootnoteText"/>
        <w:rPr>
          <w:i/>
          <w:color w:val="000000" w:themeColor="text1"/>
        </w:rPr>
      </w:pPr>
      <w:r w:rsidRPr="005C5ACB">
        <w:rPr>
          <w:rStyle w:val="FootnoteReference"/>
          <w:color w:val="000000" w:themeColor="text1"/>
        </w:rPr>
        <w:footnoteRef/>
      </w:r>
      <w:r w:rsidRPr="005C5ACB">
        <w:rPr>
          <w:color w:val="000000" w:themeColor="text1"/>
        </w:rPr>
        <w:t xml:space="preserve"> </w:t>
      </w:r>
      <w:r w:rsidRPr="005C5ACB">
        <w:rPr>
          <w:i/>
          <w:color w:val="000000" w:themeColor="text1"/>
        </w:rPr>
        <w:t xml:space="preserve">Id. </w:t>
      </w:r>
    </w:p>
  </w:footnote>
  <w:footnote w:id="46">
    <w:p w14:paraId="3A73F83E" w14:textId="77777777" w:rsidR="001414CD" w:rsidRPr="005C5ACB" w:rsidRDefault="001414CD" w:rsidP="00C42E12">
      <w:pPr>
        <w:pStyle w:val="FootnoteText"/>
        <w:rPr>
          <w:color w:val="000000" w:themeColor="text1"/>
        </w:rPr>
      </w:pPr>
      <w:r w:rsidRPr="005C5ACB">
        <w:rPr>
          <w:rStyle w:val="FootnoteReference"/>
          <w:color w:val="000000" w:themeColor="text1"/>
        </w:rPr>
        <w:footnoteRef/>
      </w:r>
      <w:r w:rsidRPr="005C5ACB">
        <w:rPr>
          <w:color w:val="000000" w:themeColor="text1"/>
        </w:rPr>
        <w:t xml:space="preserve"> </w:t>
      </w:r>
      <w:r w:rsidRPr="005C5ACB">
        <w:rPr>
          <w:i/>
          <w:color w:val="000000" w:themeColor="text1"/>
        </w:rPr>
        <w:t>Id.</w:t>
      </w:r>
      <w:r w:rsidRPr="005C5ACB">
        <w:rPr>
          <w:color w:val="000000" w:themeColor="text1"/>
        </w:rPr>
        <w:t xml:space="preserve"> at 10. </w:t>
      </w:r>
    </w:p>
  </w:footnote>
  <w:footnote w:id="47">
    <w:p w14:paraId="0E074249" w14:textId="77777777" w:rsidR="001414CD" w:rsidRPr="005C5ACB" w:rsidRDefault="001414CD" w:rsidP="00C42E12">
      <w:pPr>
        <w:pStyle w:val="FootnoteText"/>
        <w:rPr>
          <w:color w:val="000000" w:themeColor="text1"/>
        </w:rPr>
      </w:pPr>
      <w:r w:rsidRPr="005C5ACB">
        <w:rPr>
          <w:rStyle w:val="FootnoteReference"/>
          <w:color w:val="000000" w:themeColor="text1"/>
        </w:rPr>
        <w:footnoteRef/>
      </w:r>
      <w:r w:rsidRPr="005C5ACB">
        <w:rPr>
          <w:color w:val="000000" w:themeColor="text1"/>
        </w:rPr>
        <w:t xml:space="preserve"> </w:t>
      </w:r>
      <w:r w:rsidRPr="005C5ACB">
        <w:rPr>
          <w:i/>
          <w:color w:val="000000" w:themeColor="text1"/>
        </w:rPr>
        <w:t xml:space="preserve">Id. </w:t>
      </w:r>
      <w:r w:rsidRPr="005C5ACB">
        <w:rPr>
          <w:color w:val="000000" w:themeColor="text1"/>
        </w:rPr>
        <w:t xml:space="preserve">at 17-18. </w:t>
      </w:r>
    </w:p>
  </w:footnote>
  <w:footnote w:id="48">
    <w:p w14:paraId="4786A33D" w14:textId="3686F50B" w:rsidR="001414CD" w:rsidRPr="005C5ACB" w:rsidRDefault="001414CD" w:rsidP="00C42E12">
      <w:pPr>
        <w:pStyle w:val="FootnoteText"/>
        <w:rPr>
          <w:color w:val="000000" w:themeColor="text1"/>
        </w:rPr>
      </w:pPr>
      <w:r w:rsidRPr="005C5ACB">
        <w:rPr>
          <w:rStyle w:val="FootnoteReference"/>
          <w:color w:val="000000" w:themeColor="text1"/>
        </w:rPr>
        <w:footnoteRef/>
      </w:r>
      <w:r w:rsidRPr="005C5ACB">
        <w:rPr>
          <w:color w:val="000000" w:themeColor="text1"/>
        </w:rPr>
        <w:t xml:space="preserve"> William Hinman’s Statements as the Director of the Division of Corporation Finance SEC. “Digital Asset Transactions: When Howey Met Gary (Plastic).” (June 14, 2018) (transcript available at </w:t>
      </w:r>
      <w:hyperlink r:id="rId3" w:history="1">
        <w:r w:rsidRPr="005C5ACB">
          <w:rPr>
            <w:rStyle w:val="Hyperlink"/>
          </w:rPr>
          <w:t>https://www.sec.gov/news/speech/speech-hinman-061418</w:t>
        </w:r>
      </w:hyperlink>
      <w:r w:rsidRPr="005C5ACB">
        <w:rPr>
          <w:color w:val="000000" w:themeColor="text1"/>
        </w:rPr>
        <w:t>)</w:t>
      </w:r>
    </w:p>
  </w:footnote>
  <w:footnote w:id="49">
    <w:p w14:paraId="2EE563E4" w14:textId="0D1A55A7" w:rsidR="001414CD" w:rsidRPr="005C5ACB" w:rsidRDefault="001414CD">
      <w:pPr>
        <w:pStyle w:val="FootnoteText"/>
      </w:pPr>
      <w:r w:rsidRPr="005C5ACB">
        <w:rPr>
          <w:rStyle w:val="FootnoteReference"/>
        </w:rPr>
        <w:footnoteRef/>
      </w:r>
      <w:r w:rsidRPr="005C5ACB">
        <w:t xml:space="preserve"> </w:t>
      </w:r>
      <w:r w:rsidRPr="005C5ACB">
        <w:rPr>
          <w:i/>
          <w:iCs/>
        </w:rPr>
        <w:t>See e.g.</w:t>
      </w:r>
      <w:r w:rsidRPr="005C5ACB">
        <w:t xml:space="preserve">, </w:t>
      </w:r>
      <w:r w:rsidRPr="005C5ACB">
        <w:rPr>
          <w:i/>
          <w:iCs/>
        </w:rPr>
        <w:t>Tomahawk</w:t>
      </w:r>
      <w:r w:rsidRPr="005C5ACB">
        <w:t xml:space="preserve">, </w:t>
      </w:r>
      <w:proofErr w:type="spellStart"/>
      <w:r w:rsidRPr="005C5ACB">
        <w:rPr>
          <w:i/>
          <w:iCs/>
        </w:rPr>
        <w:t>Airfox</w:t>
      </w:r>
      <w:proofErr w:type="spellEnd"/>
      <w:r w:rsidRPr="005C5ACB">
        <w:t xml:space="preserve">, and </w:t>
      </w:r>
      <w:r w:rsidRPr="005C5ACB">
        <w:rPr>
          <w:i/>
          <w:iCs/>
        </w:rPr>
        <w:t xml:space="preserve">Paragon </w:t>
      </w:r>
      <w:r w:rsidRPr="005C5ACB">
        <w:t xml:space="preserve">SEC Administrative Decisions. </w:t>
      </w:r>
    </w:p>
  </w:footnote>
  <w:footnote w:id="50">
    <w:p w14:paraId="1A868C5E" w14:textId="1D281814" w:rsidR="001414CD" w:rsidRPr="005C5ACB" w:rsidRDefault="001414CD">
      <w:pPr>
        <w:pStyle w:val="FootnoteText"/>
      </w:pPr>
      <w:r w:rsidRPr="005C5ACB">
        <w:rPr>
          <w:rStyle w:val="FootnoteReference"/>
        </w:rPr>
        <w:footnoteRef/>
      </w:r>
      <w:r w:rsidRPr="005C5ACB">
        <w:t xml:space="preserve"> </w:t>
      </w:r>
      <w:r w:rsidRPr="005C5ACB">
        <w:rPr>
          <w:i/>
          <w:iCs/>
        </w:rPr>
        <w:t>See</w:t>
      </w:r>
      <w:r w:rsidRPr="005C5ACB">
        <w:t xml:space="preserve"> SEC Cyber Enforcement Actions, Digital Assets/Initial Coin Offerings. https://www.sec.gov/spotlight/cybersecurity-enforcement-actions</w:t>
      </w:r>
    </w:p>
  </w:footnote>
  <w:footnote w:id="51">
    <w:p w14:paraId="13314842" w14:textId="392BB09D" w:rsidR="001414CD" w:rsidRPr="005C5ACB" w:rsidRDefault="001414CD" w:rsidP="00C42E12">
      <w:pPr>
        <w:rPr>
          <w:color w:val="000000" w:themeColor="text1"/>
          <w:sz w:val="20"/>
          <w:szCs w:val="20"/>
        </w:rPr>
      </w:pPr>
      <w:r w:rsidRPr="005C5ACB">
        <w:rPr>
          <w:rStyle w:val="FootnoteReference"/>
          <w:color w:val="000000" w:themeColor="text1"/>
          <w:sz w:val="20"/>
          <w:szCs w:val="20"/>
        </w:rPr>
        <w:footnoteRef/>
      </w:r>
      <w:r w:rsidRPr="005C5ACB">
        <w:rPr>
          <w:color w:val="000000" w:themeColor="text1"/>
          <w:sz w:val="20"/>
          <w:szCs w:val="20"/>
        </w:rPr>
        <w:t xml:space="preserve"> </w:t>
      </w:r>
      <w:r w:rsidRPr="005C5ACB">
        <w:rPr>
          <w:i/>
          <w:color w:val="000000" w:themeColor="text1"/>
          <w:sz w:val="20"/>
          <w:szCs w:val="20"/>
        </w:rPr>
        <w:t>See e.g.</w:t>
      </w:r>
      <w:r w:rsidRPr="005C5ACB">
        <w:rPr>
          <w:color w:val="000000" w:themeColor="text1"/>
          <w:sz w:val="20"/>
          <w:szCs w:val="20"/>
        </w:rPr>
        <w:t xml:space="preserve">, </w:t>
      </w:r>
      <w:r w:rsidRPr="005C5ACB">
        <w:rPr>
          <w:rFonts w:eastAsiaTheme="minorEastAsia"/>
          <w:i/>
          <w:iCs/>
          <w:color w:val="000000" w:themeColor="text1"/>
          <w:sz w:val="20"/>
          <w:szCs w:val="20"/>
        </w:rPr>
        <w:t>U.S. v. Zaslavskiy</w:t>
      </w:r>
      <w:r w:rsidRPr="005C5ACB">
        <w:rPr>
          <w:rFonts w:eastAsiaTheme="minorEastAsia"/>
          <w:color w:val="000000" w:themeColor="text1"/>
          <w:sz w:val="20"/>
          <w:szCs w:val="20"/>
        </w:rPr>
        <w:t>, No. 1:17-cr-00647, slip op., 2018 WL 4346339 (E.D.N.Y. Sept. 11, 2018)</w:t>
      </w:r>
      <w:r w:rsidRPr="005C5ACB">
        <w:rPr>
          <w:color w:val="000000" w:themeColor="text1"/>
          <w:sz w:val="20"/>
          <w:szCs w:val="20"/>
        </w:rPr>
        <w:t xml:space="preserve"> (</w:t>
      </w:r>
      <w:r w:rsidRPr="005C5ACB">
        <w:rPr>
          <w:rFonts w:eastAsiaTheme="minorEastAsia"/>
          <w:color w:val="000000" w:themeColor="text1"/>
          <w:sz w:val="20"/>
          <w:szCs w:val="20"/>
        </w:rPr>
        <w:t xml:space="preserve">Judge Raymond Dearie of the Eastern District of New York upheld a criminal indictment for securities fraud involving the sales of cryptocurrency tokens in an </w:t>
      </w:r>
      <w:r w:rsidRPr="005C5ACB">
        <w:rPr>
          <w:color w:val="000000" w:themeColor="text1"/>
          <w:sz w:val="20"/>
          <w:szCs w:val="20"/>
        </w:rPr>
        <w:t xml:space="preserve">ICO); </w:t>
      </w:r>
      <w:r w:rsidRPr="005C5ACB">
        <w:rPr>
          <w:rFonts w:eastAsiaTheme="minorEastAsia"/>
          <w:i/>
          <w:iCs/>
          <w:color w:val="000000" w:themeColor="text1"/>
          <w:sz w:val="20"/>
          <w:szCs w:val="20"/>
        </w:rPr>
        <w:t>Commodity Futures Trading Commission v. McDonnell</w:t>
      </w:r>
      <w:r w:rsidRPr="005C5ACB">
        <w:rPr>
          <w:rFonts w:eastAsiaTheme="minorEastAsia"/>
          <w:color w:val="000000" w:themeColor="text1"/>
          <w:sz w:val="20"/>
          <w:szCs w:val="20"/>
        </w:rPr>
        <w:t>, 287 F. Supp. 3d 213 (E.D.N.Y. 2018</w:t>
      </w:r>
      <w:r w:rsidRPr="005C5ACB">
        <w:rPr>
          <w:color w:val="000000" w:themeColor="text1"/>
          <w:sz w:val="20"/>
          <w:szCs w:val="20"/>
        </w:rPr>
        <w:t>) (determining that fraudulent</w:t>
      </w:r>
      <w:r w:rsidRPr="005C5ACB">
        <w:rPr>
          <w:rFonts w:eastAsiaTheme="minorEastAsia"/>
          <w:color w:val="000000" w:themeColor="text1"/>
          <w:sz w:val="20"/>
          <w:szCs w:val="20"/>
        </w:rPr>
        <w:t xml:space="preserve"> ICOs can be subject to enforcement proceedings under the antifraud provisions of the Commodities Exchange Act</w:t>
      </w:r>
      <w:r w:rsidRPr="005C5ACB">
        <w:rPr>
          <w:color w:val="000000" w:themeColor="text1"/>
          <w:sz w:val="20"/>
          <w:szCs w:val="20"/>
        </w:rPr>
        <w:t xml:space="preserve">). </w:t>
      </w:r>
    </w:p>
  </w:footnote>
  <w:footnote w:id="52">
    <w:p w14:paraId="64ADD16F" w14:textId="77777777" w:rsidR="001414CD" w:rsidRPr="005C5ACB" w:rsidRDefault="001414CD" w:rsidP="00C42E12">
      <w:pPr>
        <w:pStyle w:val="FootnoteText"/>
        <w:rPr>
          <w:color w:val="000000" w:themeColor="text1"/>
        </w:rPr>
      </w:pPr>
      <w:r w:rsidRPr="005C5ACB">
        <w:rPr>
          <w:rStyle w:val="FootnoteReference"/>
          <w:color w:val="000000" w:themeColor="text1"/>
        </w:rPr>
        <w:footnoteRef/>
      </w:r>
      <w:r w:rsidRPr="005C5ACB">
        <w:rPr>
          <w:color w:val="000000" w:themeColor="text1"/>
        </w:rPr>
        <w:t xml:space="preserve"> SEC. “Spotlight on Initial Coin Offerings and Digital Assets.” </w:t>
      </w:r>
      <w:hyperlink r:id="rId4" w:history="1">
        <w:r w:rsidRPr="005C5ACB">
          <w:rPr>
            <w:rStyle w:val="Hyperlink"/>
            <w:color w:val="000000" w:themeColor="text1"/>
            <w:u w:val="none"/>
          </w:rPr>
          <w:t>https://www.sec.gov/spotlight-initial-coin-offerings-and-digital-assets</w:t>
        </w:r>
      </w:hyperlink>
      <w:r w:rsidRPr="005C5ACB">
        <w:rPr>
          <w:color w:val="000000" w:themeColor="text1"/>
        </w:rPr>
        <w:t xml:space="preserve"> </w:t>
      </w:r>
    </w:p>
  </w:footnote>
  <w:footnote w:id="53">
    <w:p w14:paraId="1D86E4C4" w14:textId="77777777" w:rsidR="001414CD" w:rsidRPr="005C5ACB" w:rsidRDefault="001414CD" w:rsidP="00BE67C0">
      <w:pPr>
        <w:rPr>
          <w:color w:val="000000" w:themeColor="text1"/>
          <w:sz w:val="20"/>
          <w:szCs w:val="20"/>
        </w:rPr>
      </w:pPr>
      <w:r w:rsidRPr="005C5ACB">
        <w:rPr>
          <w:rStyle w:val="FootnoteReference"/>
          <w:color w:val="000000" w:themeColor="text1"/>
          <w:sz w:val="20"/>
          <w:szCs w:val="20"/>
        </w:rPr>
        <w:footnoteRef/>
      </w:r>
      <w:r w:rsidRPr="005C5ACB">
        <w:rPr>
          <w:color w:val="000000" w:themeColor="text1"/>
          <w:sz w:val="20"/>
          <w:szCs w:val="20"/>
        </w:rPr>
        <w:t xml:space="preserve"> In the Matter of </w:t>
      </w:r>
      <w:proofErr w:type="spellStart"/>
      <w:r w:rsidRPr="005C5ACB">
        <w:rPr>
          <w:color w:val="000000" w:themeColor="text1"/>
          <w:sz w:val="20"/>
          <w:szCs w:val="20"/>
        </w:rPr>
        <w:t>Munchee</w:t>
      </w:r>
      <w:proofErr w:type="spellEnd"/>
      <w:r w:rsidRPr="005C5ACB">
        <w:rPr>
          <w:color w:val="000000" w:themeColor="text1"/>
          <w:sz w:val="20"/>
          <w:szCs w:val="20"/>
        </w:rPr>
        <w:t xml:space="preserve"> Inc., SEC Release No. 33-10445 (Dec. 11, 2017) (cease and desist order); </w:t>
      </w:r>
      <w:proofErr w:type="spellStart"/>
      <w:r w:rsidRPr="005C5ACB">
        <w:rPr>
          <w:color w:val="000000" w:themeColor="text1"/>
          <w:sz w:val="20"/>
          <w:szCs w:val="20"/>
        </w:rPr>
        <w:t>AirFox</w:t>
      </w:r>
      <w:proofErr w:type="spellEnd"/>
      <w:r w:rsidRPr="005C5ACB">
        <w:rPr>
          <w:color w:val="000000" w:themeColor="text1"/>
          <w:sz w:val="20"/>
          <w:szCs w:val="20"/>
        </w:rPr>
        <w:t xml:space="preserve">, Paragon, Crypto Asset Management, </w:t>
      </w:r>
      <w:proofErr w:type="spellStart"/>
      <w:r w:rsidRPr="005C5ACB">
        <w:rPr>
          <w:color w:val="000000" w:themeColor="text1"/>
          <w:sz w:val="20"/>
          <w:szCs w:val="20"/>
        </w:rPr>
        <w:t>TokenLot</w:t>
      </w:r>
      <w:proofErr w:type="spellEnd"/>
      <w:r w:rsidRPr="005C5ACB">
        <w:rPr>
          <w:color w:val="000000" w:themeColor="text1"/>
          <w:sz w:val="20"/>
          <w:szCs w:val="20"/>
        </w:rPr>
        <w:t xml:space="preserve">, and </w:t>
      </w:r>
      <w:proofErr w:type="spellStart"/>
      <w:r w:rsidRPr="005C5ACB">
        <w:rPr>
          <w:color w:val="000000" w:themeColor="text1"/>
          <w:sz w:val="20"/>
          <w:szCs w:val="20"/>
        </w:rPr>
        <w:t>EtherDelta's</w:t>
      </w:r>
      <w:proofErr w:type="spellEnd"/>
      <w:r w:rsidRPr="005C5ACB">
        <w:rPr>
          <w:color w:val="000000" w:themeColor="text1"/>
          <w:sz w:val="20"/>
          <w:szCs w:val="20"/>
        </w:rPr>
        <w:t xml:space="preserve"> founder. Division of Corporation Finance, Division of Investment Management, and Division of Trading and Markets. “Statement on Digital Asset Securities Issuance and Trading.” Nov. 16, 2018. SEC. </w:t>
      </w:r>
    </w:p>
  </w:footnote>
  <w:footnote w:id="54">
    <w:p w14:paraId="5B03083F" w14:textId="77777777" w:rsidR="001414CD" w:rsidRPr="005C5ACB" w:rsidRDefault="001414CD" w:rsidP="00BE67C0">
      <w:pPr>
        <w:rPr>
          <w:color w:val="000000" w:themeColor="text1"/>
          <w:sz w:val="20"/>
          <w:szCs w:val="20"/>
        </w:rPr>
      </w:pPr>
      <w:r w:rsidRPr="005C5ACB">
        <w:rPr>
          <w:rStyle w:val="FootnoteReference"/>
          <w:color w:val="000000" w:themeColor="text1"/>
          <w:sz w:val="20"/>
          <w:szCs w:val="20"/>
        </w:rPr>
        <w:footnoteRef/>
      </w:r>
      <w:r w:rsidRPr="005C5ACB">
        <w:rPr>
          <w:color w:val="000000" w:themeColor="text1"/>
          <w:sz w:val="20"/>
          <w:szCs w:val="20"/>
        </w:rPr>
        <w:t xml:space="preserve"> </w:t>
      </w:r>
      <w:proofErr w:type="spellStart"/>
      <w:r w:rsidRPr="005C5ACB">
        <w:rPr>
          <w:i/>
          <w:iCs/>
          <w:color w:val="000000" w:themeColor="text1"/>
          <w:sz w:val="20"/>
          <w:szCs w:val="20"/>
        </w:rPr>
        <w:t>Munchee</w:t>
      </w:r>
      <w:proofErr w:type="spellEnd"/>
      <w:r w:rsidRPr="005C5ACB">
        <w:rPr>
          <w:i/>
          <w:iCs/>
          <w:color w:val="000000" w:themeColor="text1"/>
          <w:sz w:val="20"/>
          <w:szCs w:val="20"/>
        </w:rPr>
        <w:t xml:space="preserve"> Inc.</w:t>
      </w:r>
      <w:r w:rsidRPr="005C5ACB">
        <w:rPr>
          <w:color w:val="000000" w:themeColor="text1"/>
          <w:sz w:val="20"/>
          <w:szCs w:val="20"/>
        </w:rPr>
        <w:t xml:space="preserve">, SEC Release No. 33-10445. </w:t>
      </w:r>
    </w:p>
  </w:footnote>
  <w:footnote w:id="55">
    <w:p w14:paraId="1E6038F2" w14:textId="77777777" w:rsidR="001414CD" w:rsidRPr="005C5ACB" w:rsidRDefault="001414CD" w:rsidP="00BE67C0">
      <w:pPr>
        <w:pStyle w:val="FootnoteText"/>
        <w:rPr>
          <w:color w:val="000000" w:themeColor="text1"/>
        </w:rPr>
      </w:pPr>
      <w:r w:rsidRPr="005C5ACB">
        <w:rPr>
          <w:rStyle w:val="FootnoteReference"/>
          <w:color w:val="000000" w:themeColor="text1"/>
        </w:rPr>
        <w:footnoteRef/>
      </w:r>
      <w:r w:rsidRPr="005C5ACB">
        <w:rPr>
          <w:color w:val="000000" w:themeColor="text1"/>
        </w:rPr>
        <w:t xml:space="preserve"> </w:t>
      </w:r>
      <w:r w:rsidRPr="005C5ACB">
        <w:rPr>
          <w:i/>
          <w:color w:val="000000" w:themeColor="text1"/>
        </w:rPr>
        <w:t xml:space="preserve">Id. </w:t>
      </w:r>
      <w:r w:rsidRPr="005C5ACB">
        <w:rPr>
          <w:color w:val="000000" w:themeColor="text1"/>
        </w:rPr>
        <w:t xml:space="preserve">at 1-2. </w:t>
      </w:r>
    </w:p>
  </w:footnote>
  <w:footnote w:id="56">
    <w:p w14:paraId="6C757081" w14:textId="77777777" w:rsidR="001414CD" w:rsidRPr="005C5ACB" w:rsidRDefault="001414CD" w:rsidP="00BE67C0">
      <w:pPr>
        <w:pStyle w:val="FootnoteText"/>
        <w:rPr>
          <w:color w:val="000000" w:themeColor="text1"/>
        </w:rPr>
      </w:pPr>
      <w:r w:rsidRPr="005C5ACB">
        <w:rPr>
          <w:rStyle w:val="FootnoteReference"/>
          <w:color w:val="000000" w:themeColor="text1"/>
        </w:rPr>
        <w:footnoteRef/>
      </w:r>
      <w:r w:rsidRPr="005C5ACB">
        <w:rPr>
          <w:color w:val="000000" w:themeColor="text1"/>
        </w:rPr>
        <w:t xml:space="preserve"> </w:t>
      </w:r>
      <w:r w:rsidRPr="005C5ACB">
        <w:rPr>
          <w:i/>
          <w:color w:val="000000" w:themeColor="text1"/>
        </w:rPr>
        <w:t>Id.</w:t>
      </w:r>
      <w:r w:rsidRPr="005C5ACB">
        <w:rPr>
          <w:color w:val="000000" w:themeColor="text1"/>
        </w:rPr>
        <w:t xml:space="preserve"> at 3. </w:t>
      </w:r>
    </w:p>
  </w:footnote>
  <w:footnote w:id="57">
    <w:p w14:paraId="706A07D6" w14:textId="77777777" w:rsidR="001414CD" w:rsidRPr="005C5ACB" w:rsidRDefault="001414CD" w:rsidP="00BE67C0">
      <w:pPr>
        <w:pStyle w:val="FootnoteText"/>
        <w:rPr>
          <w:color w:val="000000" w:themeColor="text1"/>
        </w:rPr>
      </w:pPr>
      <w:r w:rsidRPr="005C5ACB">
        <w:rPr>
          <w:rStyle w:val="FootnoteReference"/>
          <w:color w:val="000000" w:themeColor="text1"/>
        </w:rPr>
        <w:footnoteRef/>
      </w:r>
      <w:r w:rsidRPr="005C5ACB">
        <w:rPr>
          <w:color w:val="000000" w:themeColor="text1"/>
        </w:rPr>
        <w:t xml:space="preserve"> </w:t>
      </w:r>
      <w:r w:rsidRPr="005C5ACB">
        <w:rPr>
          <w:i/>
          <w:color w:val="000000" w:themeColor="text1"/>
        </w:rPr>
        <w:t>Id.</w:t>
      </w:r>
      <w:r w:rsidRPr="005C5ACB">
        <w:rPr>
          <w:color w:val="000000" w:themeColor="text1"/>
        </w:rPr>
        <w:t xml:space="preserve"> at 4; </w:t>
      </w:r>
      <w:r w:rsidRPr="005C5ACB">
        <w:rPr>
          <w:i/>
          <w:color w:val="000000" w:themeColor="text1"/>
        </w:rPr>
        <w:t>see also</w:t>
      </w:r>
      <w:r w:rsidRPr="005C5ACB">
        <w:rPr>
          <w:color w:val="000000" w:themeColor="text1"/>
        </w:rPr>
        <w:t xml:space="preserve"> The </w:t>
      </w:r>
      <w:proofErr w:type="spellStart"/>
      <w:r w:rsidRPr="005C5ACB">
        <w:rPr>
          <w:color w:val="000000" w:themeColor="text1"/>
        </w:rPr>
        <w:t>Munchee</w:t>
      </w:r>
      <w:proofErr w:type="spellEnd"/>
      <w:r w:rsidRPr="005C5ACB">
        <w:rPr>
          <w:color w:val="000000" w:themeColor="text1"/>
        </w:rPr>
        <w:t xml:space="preserve"> Token Whitepaper by Dr. Sanjeev Verma, Nghi Bui and Chelsea Lam. October 16, 2017. </w:t>
      </w:r>
      <w:hyperlink r:id="rId5" w:history="1">
        <w:r w:rsidRPr="005C5ACB">
          <w:rPr>
            <w:rStyle w:val="Hyperlink"/>
            <w:color w:val="000000" w:themeColor="text1"/>
            <w:u w:val="none"/>
          </w:rPr>
          <w:t>https://www.theventurealley.com/wp-content/uploads/sites/5/2017/12/Munchee-White-Paper.pdf</w:t>
        </w:r>
      </w:hyperlink>
      <w:r w:rsidRPr="005C5ACB">
        <w:rPr>
          <w:color w:val="000000" w:themeColor="text1"/>
        </w:rPr>
        <w:t xml:space="preserve"> </w:t>
      </w:r>
    </w:p>
  </w:footnote>
  <w:footnote w:id="58">
    <w:p w14:paraId="2EBB8A10" w14:textId="77777777" w:rsidR="001414CD" w:rsidRPr="005C5ACB" w:rsidRDefault="001414CD" w:rsidP="00BE67C0">
      <w:pPr>
        <w:pStyle w:val="FootnoteText"/>
        <w:rPr>
          <w:color w:val="000000" w:themeColor="text1"/>
        </w:rPr>
      </w:pPr>
      <w:r w:rsidRPr="005C5ACB">
        <w:rPr>
          <w:rStyle w:val="FootnoteReference"/>
          <w:color w:val="000000" w:themeColor="text1"/>
        </w:rPr>
        <w:footnoteRef/>
      </w:r>
      <w:r w:rsidRPr="005C5ACB">
        <w:rPr>
          <w:color w:val="000000" w:themeColor="text1"/>
        </w:rPr>
        <w:t xml:space="preserve"> </w:t>
      </w:r>
      <w:proofErr w:type="spellStart"/>
      <w:r w:rsidRPr="005C5ACB">
        <w:rPr>
          <w:i/>
          <w:color w:val="000000" w:themeColor="text1"/>
        </w:rPr>
        <w:t>Munchee</w:t>
      </w:r>
      <w:proofErr w:type="spellEnd"/>
      <w:r w:rsidRPr="005C5ACB">
        <w:rPr>
          <w:color w:val="000000" w:themeColor="text1"/>
        </w:rPr>
        <w:t xml:space="preserve">, </w:t>
      </w:r>
      <w:r w:rsidRPr="005C5ACB">
        <w:rPr>
          <w:i/>
          <w:color w:val="000000" w:themeColor="text1"/>
        </w:rPr>
        <w:t>supra</w:t>
      </w:r>
      <w:r w:rsidRPr="005C5ACB">
        <w:rPr>
          <w:color w:val="000000" w:themeColor="text1"/>
        </w:rPr>
        <w:t xml:space="preserve"> note 46, at 10. </w:t>
      </w:r>
    </w:p>
  </w:footnote>
  <w:footnote w:id="59">
    <w:p w14:paraId="6BAC6240" w14:textId="77777777" w:rsidR="001414CD" w:rsidRPr="005C5ACB" w:rsidRDefault="001414CD" w:rsidP="00BE67C0">
      <w:pPr>
        <w:pStyle w:val="FootnoteText"/>
        <w:rPr>
          <w:color w:val="000000" w:themeColor="text1"/>
        </w:rPr>
      </w:pPr>
      <w:r w:rsidRPr="005C5ACB">
        <w:rPr>
          <w:rStyle w:val="FootnoteReference"/>
          <w:color w:val="000000" w:themeColor="text1"/>
        </w:rPr>
        <w:footnoteRef/>
      </w:r>
      <w:r w:rsidRPr="005C5ACB">
        <w:rPr>
          <w:color w:val="000000" w:themeColor="text1"/>
        </w:rPr>
        <w:t xml:space="preserve"> </w:t>
      </w:r>
      <w:r w:rsidRPr="005C5ACB">
        <w:rPr>
          <w:i/>
          <w:color w:val="000000" w:themeColor="text1"/>
        </w:rPr>
        <w:t>Id.</w:t>
      </w:r>
      <w:r w:rsidRPr="005C5ACB">
        <w:rPr>
          <w:color w:val="000000" w:themeColor="text1"/>
        </w:rPr>
        <w:t xml:space="preserve"> at 3, 7, 9-10. </w:t>
      </w:r>
    </w:p>
  </w:footnote>
  <w:footnote w:id="60">
    <w:p w14:paraId="4F42144E" w14:textId="77777777" w:rsidR="001414CD" w:rsidRPr="005C5ACB" w:rsidRDefault="001414CD" w:rsidP="00BE67C0">
      <w:pPr>
        <w:pStyle w:val="FootnoteText"/>
        <w:rPr>
          <w:color w:val="000000" w:themeColor="text1"/>
        </w:rPr>
      </w:pPr>
      <w:r w:rsidRPr="005C5ACB">
        <w:rPr>
          <w:rStyle w:val="FootnoteReference"/>
          <w:color w:val="000000" w:themeColor="text1"/>
        </w:rPr>
        <w:footnoteRef/>
      </w:r>
      <w:r w:rsidRPr="005C5ACB">
        <w:rPr>
          <w:color w:val="000000" w:themeColor="text1"/>
        </w:rPr>
        <w:t xml:space="preserve"> </w:t>
      </w:r>
      <w:r w:rsidRPr="005C5ACB">
        <w:rPr>
          <w:i/>
          <w:color w:val="000000" w:themeColor="text1"/>
        </w:rPr>
        <w:t xml:space="preserve">Id. </w:t>
      </w:r>
      <w:r w:rsidRPr="005C5ACB">
        <w:rPr>
          <w:color w:val="000000" w:themeColor="text1"/>
        </w:rPr>
        <w:t xml:space="preserve">at 9. </w:t>
      </w:r>
    </w:p>
  </w:footnote>
  <w:footnote w:id="61">
    <w:p w14:paraId="3511D345" w14:textId="77777777" w:rsidR="001414CD" w:rsidRPr="005C5ACB" w:rsidRDefault="001414CD" w:rsidP="00BE67C0">
      <w:pPr>
        <w:pStyle w:val="FootnoteText"/>
        <w:rPr>
          <w:color w:val="000000" w:themeColor="text1"/>
        </w:rPr>
      </w:pPr>
      <w:r w:rsidRPr="005C5ACB">
        <w:rPr>
          <w:rStyle w:val="FootnoteReference"/>
          <w:color w:val="000000" w:themeColor="text1"/>
        </w:rPr>
        <w:footnoteRef/>
      </w:r>
      <w:r w:rsidRPr="005C5ACB">
        <w:rPr>
          <w:color w:val="000000" w:themeColor="text1"/>
        </w:rPr>
        <w:t xml:space="preserve"> </w:t>
      </w:r>
      <w:r w:rsidRPr="005C5ACB">
        <w:rPr>
          <w:i/>
          <w:color w:val="000000" w:themeColor="text1"/>
        </w:rPr>
        <w:t>Id.</w:t>
      </w:r>
      <w:r w:rsidRPr="005C5ACB">
        <w:rPr>
          <w:color w:val="000000" w:themeColor="text1"/>
        </w:rPr>
        <w:t xml:space="preserve"> at 5, 9.</w:t>
      </w:r>
    </w:p>
  </w:footnote>
  <w:footnote w:id="62">
    <w:p w14:paraId="07E2DD3B" w14:textId="77777777" w:rsidR="001414CD" w:rsidRPr="005C5ACB" w:rsidRDefault="001414CD" w:rsidP="00BE67C0">
      <w:pPr>
        <w:pStyle w:val="FootnoteText"/>
        <w:rPr>
          <w:i/>
          <w:color w:val="000000" w:themeColor="text1"/>
        </w:rPr>
      </w:pPr>
      <w:r w:rsidRPr="005C5ACB">
        <w:rPr>
          <w:rStyle w:val="FootnoteReference"/>
          <w:color w:val="000000" w:themeColor="text1"/>
        </w:rPr>
        <w:footnoteRef/>
      </w:r>
      <w:r w:rsidRPr="005C5ACB">
        <w:rPr>
          <w:color w:val="000000" w:themeColor="text1"/>
        </w:rPr>
        <w:t xml:space="preserve"> </w:t>
      </w:r>
      <w:r w:rsidRPr="005C5ACB">
        <w:rPr>
          <w:i/>
          <w:color w:val="000000" w:themeColor="text1"/>
        </w:rPr>
        <w:t>Id.</w:t>
      </w:r>
    </w:p>
  </w:footnote>
  <w:footnote w:id="63">
    <w:p w14:paraId="254DC7C6" w14:textId="77777777" w:rsidR="001414CD" w:rsidRPr="005C5ACB" w:rsidRDefault="001414CD" w:rsidP="00BE67C0">
      <w:pPr>
        <w:pStyle w:val="FootnoteText"/>
        <w:rPr>
          <w:i/>
          <w:color w:val="000000" w:themeColor="text1"/>
        </w:rPr>
      </w:pPr>
      <w:r w:rsidRPr="005C5ACB">
        <w:rPr>
          <w:rStyle w:val="FootnoteReference"/>
          <w:color w:val="000000" w:themeColor="text1"/>
        </w:rPr>
        <w:footnoteRef/>
      </w:r>
      <w:r w:rsidRPr="005C5ACB">
        <w:rPr>
          <w:color w:val="000000" w:themeColor="text1"/>
        </w:rPr>
        <w:t xml:space="preserve"> </w:t>
      </w:r>
      <w:r w:rsidRPr="005C5ACB">
        <w:rPr>
          <w:i/>
          <w:color w:val="000000" w:themeColor="text1"/>
        </w:rPr>
        <w:t xml:space="preserve">Id. </w:t>
      </w:r>
    </w:p>
  </w:footnote>
  <w:footnote w:id="64">
    <w:p w14:paraId="33F5B845" w14:textId="77777777" w:rsidR="001414CD" w:rsidRPr="005C5ACB" w:rsidRDefault="001414CD" w:rsidP="00BE67C0">
      <w:pPr>
        <w:pStyle w:val="FootnoteText"/>
        <w:rPr>
          <w:i/>
          <w:color w:val="000000" w:themeColor="text1"/>
        </w:rPr>
      </w:pPr>
      <w:r w:rsidRPr="005C5ACB">
        <w:rPr>
          <w:rStyle w:val="FootnoteReference"/>
          <w:color w:val="000000" w:themeColor="text1"/>
        </w:rPr>
        <w:footnoteRef/>
      </w:r>
      <w:r w:rsidRPr="005C5ACB">
        <w:rPr>
          <w:color w:val="000000" w:themeColor="text1"/>
        </w:rPr>
        <w:t xml:space="preserve"> </w:t>
      </w:r>
      <w:r w:rsidRPr="005C5ACB">
        <w:rPr>
          <w:i/>
          <w:color w:val="000000" w:themeColor="text1"/>
        </w:rPr>
        <w:t xml:space="preserve">Id. </w:t>
      </w:r>
    </w:p>
  </w:footnote>
  <w:footnote w:id="65">
    <w:p w14:paraId="74AAF186" w14:textId="77777777" w:rsidR="001414CD" w:rsidRPr="005C5ACB" w:rsidRDefault="001414CD" w:rsidP="00BE67C0">
      <w:pPr>
        <w:pStyle w:val="FootnoteText"/>
        <w:rPr>
          <w:color w:val="000000" w:themeColor="text1"/>
        </w:rPr>
      </w:pPr>
      <w:r w:rsidRPr="005C5ACB">
        <w:rPr>
          <w:rStyle w:val="FootnoteReference"/>
          <w:color w:val="000000" w:themeColor="text1"/>
        </w:rPr>
        <w:footnoteRef/>
      </w:r>
      <w:r w:rsidRPr="005C5ACB">
        <w:rPr>
          <w:color w:val="000000" w:themeColor="text1"/>
        </w:rPr>
        <w:t xml:space="preserve"> </w:t>
      </w:r>
      <w:r w:rsidRPr="005C5ACB">
        <w:rPr>
          <w:i/>
          <w:color w:val="000000" w:themeColor="text1"/>
        </w:rPr>
        <w:t xml:space="preserve">Id. </w:t>
      </w:r>
      <w:r w:rsidRPr="005C5ACB">
        <w:rPr>
          <w:color w:val="000000" w:themeColor="text1"/>
        </w:rPr>
        <w:t>at 9-10</w:t>
      </w:r>
    </w:p>
  </w:footnote>
  <w:footnote w:id="66">
    <w:p w14:paraId="5D00A64D" w14:textId="77777777" w:rsidR="001414CD" w:rsidRPr="005C5ACB" w:rsidRDefault="001414CD" w:rsidP="00BE67C0">
      <w:pPr>
        <w:autoSpaceDE w:val="0"/>
        <w:autoSpaceDN w:val="0"/>
        <w:adjustRightInd w:val="0"/>
        <w:rPr>
          <w:rFonts w:eastAsiaTheme="minorHAnsi"/>
          <w:color w:val="000000"/>
          <w:sz w:val="20"/>
          <w:szCs w:val="20"/>
        </w:rPr>
      </w:pPr>
      <w:r w:rsidRPr="005C5ACB">
        <w:rPr>
          <w:rStyle w:val="FootnoteReference"/>
          <w:color w:val="000000" w:themeColor="text1"/>
          <w:sz w:val="20"/>
          <w:szCs w:val="20"/>
        </w:rPr>
        <w:footnoteRef/>
      </w:r>
      <w:r w:rsidRPr="005C5ACB">
        <w:rPr>
          <w:color w:val="000000" w:themeColor="text1"/>
          <w:sz w:val="20"/>
          <w:szCs w:val="20"/>
        </w:rPr>
        <w:t xml:space="preserve"> Hinman’s Statements, </w:t>
      </w:r>
      <w:r w:rsidRPr="005C5ACB">
        <w:rPr>
          <w:i/>
          <w:color w:val="000000" w:themeColor="text1"/>
          <w:sz w:val="20"/>
          <w:szCs w:val="20"/>
        </w:rPr>
        <w:t xml:space="preserve">supra </w:t>
      </w:r>
      <w:r w:rsidRPr="005C5ACB">
        <w:rPr>
          <w:color w:val="000000" w:themeColor="text1"/>
          <w:sz w:val="20"/>
          <w:szCs w:val="20"/>
        </w:rPr>
        <w:t xml:space="preserve">note 47. </w:t>
      </w:r>
      <w:r w:rsidRPr="005C5ACB">
        <w:rPr>
          <w:rFonts w:eastAsiaTheme="minorHAnsi"/>
          <w:color w:val="000000"/>
          <w:sz w:val="20"/>
          <w:szCs w:val="20"/>
        </w:rPr>
        <w:t>(“[I]</w:t>
      </w:r>
      <w:proofErr w:type="spellStart"/>
      <w:r w:rsidRPr="005C5ACB">
        <w:rPr>
          <w:rFonts w:eastAsiaTheme="minorHAnsi"/>
          <w:color w:val="000000"/>
          <w:sz w:val="20"/>
          <w:szCs w:val="20"/>
        </w:rPr>
        <w:t>ndustry</w:t>
      </w:r>
      <w:proofErr w:type="spellEnd"/>
      <w:r w:rsidRPr="005C5ACB">
        <w:rPr>
          <w:rFonts w:eastAsiaTheme="minorHAnsi"/>
          <w:color w:val="000000"/>
          <w:sz w:val="20"/>
          <w:szCs w:val="20"/>
        </w:rPr>
        <w:t xml:space="preserve"> participants are beginning to realize that, in some circumstances, it might be easier to start a </w:t>
      </w:r>
      <w:r w:rsidRPr="005C5ACB">
        <w:rPr>
          <w:rFonts w:eastAsiaTheme="minorHAnsi"/>
          <w:color w:val="252525"/>
          <w:sz w:val="20"/>
          <w:szCs w:val="20"/>
        </w:rPr>
        <w:t xml:space="preserve">blockchain </w:t>
      </w:r>
      <w:r w:rsidRPr="005C5ACB">
        <w:rPr>
          <w:rFonts w:eastAsiaTheme="minorHAnsi"/>
          <w:color w:val="000000"/>
          <w:sz w:val="20"/>
          <w:szCs w:val="20"/>
        </w:rPr>
        <w:t xml:space="preserve">based enterprise in a more conventional way. In other words, conduct the initial funding through a registered or exempt equity or debt offering and, once the network is up and running, distribute or offer </w:t>
      </w:r>
      <w:r w:rsidRPr="005C5ACB">
        <w:rPr>
          <w:rFonts w:eastAsiaTheme="minorHAnsi"/>
          <w:color w:val="252525"/>
          <w:sz w:val="20"/>
          <w:szCs w:val="20"/>
        </w:rPr>
        <w:t>blockchain</w:t>
      </w:r>
      <w:r w:rsidRPr="005C5ACB">
        <w:rPr>
          <w:rFonts w:eastAsiaTheme="minorHAnsi"/>
          <w:color w:val="000000"/>
          <w:sz w:val="20"/>
          <w:szCs w:val="20"/>
        </w:rPr>
        <w:t>-based tokens or coins to participants who need the functionality the network and the digital assets offer.”).</w:t>
      </w:r>
    </w:p>
  </w:footnote>
  <w:footnote w:id="67">
    <w:p w14:paraId="7CF8C54A" w14:textId="77777777" w:rsidR="001414CD" w:rsidRPr="005C5ACB" w:rsidRDefault="001414CD" w:rsidP="00BE67C0">
      <w:pPr>
        <w:pStyle w:val="FootnoteText"/>
        <w:rPr>
          <w:color w:val="000000" w:themeColor="text1"/>
        </w:rPr>
      </w:pPr>
      <w:r w:rsidRPr="005C5ACB">
        <w:rPr>
          <w:rStyle w:val="FootnoteReference"/>
          <w:color w:val="000000" w:themeColor="text1"/>
        </w:rPr>
        <w:footnoteRef/>
      </w:r>
      <w:r w:rsidRPr="005C5ACB">
        <w:rPr>
          <w:color w:val="000000" w:themeColor="text1"/>
        </w:rPr>
        <w:t xml:space="preserve"> </w:t>
      </w:r>
      <w:r w:rsidRPr="005C5ACB">
        <w:rPr>
          <w:i/>
          <w:color w:val="000000" w:themeColor="text1"/>
        </w:rPr>
        <w:t>Id.</w:t>
      </w:r>
    </w:p>
  </w:footnote>
  <w:footnote w:id="68">
    <w:p w14:paraId="6EB5A89B" w14:textId="77777777" w:rsidR="001414CD" w:rsidRPr="005C5ACB" w:rsidRDefault="001414CD" w:rsidP="00BE67C0">
      <w:pPr>
        <w:pStyle w:val="FootnoteText"/>
        <w:rPr>
          <w:color w:val="000000" w:themeColor="text1"/>
        </w:rPr>
      </w:pPr>
      <w:r w:rsidRPr="005C5ACB">
        <w:rPr>
          <w:rStyle w:val="FootnoteReference"/>
          <w:color w:val="000000" w:themeColor="text1"/>
        </w:rPr>
        <w:footnoteRef/>
      </w:r>
      <w:r w:rsidRPr="005C5ACB">
        <w:rPr>
          <w:color w:val="000000" w:themeColor="text1"/>
        </w:rPr>
        <w:t xml:space="preserve"> </w:t>
      </w:r>
      <w:r w:rsidRPr="005C5ACB">
        <w:rPr>
          <w:i/>
          <w:color w:val="000000" w:themeColor="text1"/>
        </w:rPr>
        <w:t>See Gary Plastic v. Merrill Lynch</w:t>
      </w:r>
      <w:r w:rsidRPr="005C5ACB">
        <w:rPr>
          <w:color w:val="000000" w:themeColor="text1"/>
        </w:rPr>
        <w:t>, 756 F.2d 230 (2d Cir. 1985) (applying Howey and concluding that, although bank certificates of deposit (CDs) are generally not securities, they were in this case because “a significant portion of the customer’s investment depends on Merrill Lynch’s managerial and financial expertise” – including its promises regarding the existence of a secondary market and its continuing marketing efforts, which would impact the value of the CDs and the potential for profit).</w:t>
      </w:r>
    </w:p>
  </w:footnote>
  <w:footnote w:id="69">
    <w:p w14:paraId="4A1244E9" w14:textId="77777777" w:rsidR="001414CD" w:rsidRPr="005C5ACB" w:rsidRDefault="001414CD" w:rsidP="00BE67C0">
      <w:pPr>
        <w:pStyle w:val="FootnoteText"/>
        <w:rPr>
          <w:color w:val="000000" w:themeColor="text1"/>
        </w:rPr>
      </w:pPr>
      <w:r w:rsidRPr="005C5ACB">
        <w:rPr>
          <w:rStyle w:val="FootnoteReference"/>
          <w:color w:val="000000" w:themeColor="text1"/>
        </w:rPr>
        <w:footnoteRef/>
      </w:r>
      <w:r w:rsidRPr="005C5ACB">
        <w:rPr>
          <w:color w:val="000000" w:themeColor="text1"/>
        </w:rPr>
        <w:t xml:space="preserve"> Hinman’s Statements, </w:t>
      </w:r>
      <w:r w:rsidRPr="005C5ACB">
        <w:rPr>
          <w:i/>
          <w:color w:val="000000" w:themeColor="text1"/>
        </w:rPr>
        <w:t xml:space="preserve">supra </w:t>
      </w:r>
      <w:r w:rsidRPr="005C5ACB">
        <w:rPr>
          <w:color w:val="000000" w:themeColor="text1"/>
        </w:rPr>
        <w:t xml:space="preserve">note 47. </w:t>
      </w:r>
    </w:p>
  </w:footnote>
  <w:footnote w:id="70">
    <w:p w14:paraId="39EA6933" w14:textId="77777777" w:rsidR="001414CD" w:rsidRPr="005C5ACB" w:rsidRDefault="001414CD" w:rsidP="00BE67C0">
      <w:pPr>
        <w:pStyle w:val="FootnoteText"/>
        <w:rPr>
          <w:i/>
          <w:color w:val="000000" w:themeColor="text1"/>
        </w:rPr>
      </w:pPr>
      <w:r w:rsidRPr="005C5ACB">
        <w:rPr>
          <w:rStyle w:val="FootnoteReference"/>
          <w:color w:val="000000" w:themeColor="text1"/>
        </w:rPr>
        <w:footnoteRef/>
      </w:r>
      <w:r w:rsidRPr="005C5ACB">
        <w:rPr>
          <w:color w:val="000000" w:themeColor="text1"/>
        </w:rPr>
        <w:t xml:space="preserve"> </w:t>
      </w:r>
      <w:r w:rsidRPr="005C5ACB">
        <w:rPr>
          <w:i/>
          <w:color w:val="000000" w:themeColor="text1"/>
        </w:rPr>
        <w:t xml:space="preserve">Id. </w:t>
      </w:r>
    </w:p>
  </w:footnote>
  <w:footnote w:id="71">
    <w:p w14:paraId="70D29919" w14:textId="77777777" w:rsidR="001414CD" w:rsidRPr="005C5ACB" w:rsidRDefault="001414CD" w:rsidP="00BE67C0">
      <w:pPr>
        <w:pStyle w:val="FootnoteText"/>
        <w:rPr>
          <w:color w:val="000000" w:themeColor="text1"/>
        </w:rPr>
      </w:pPr>
      <w:r w:rsidRPr="005C5ACB">
        <w:rPr>
          <w:rStyle w:val="FootnoteReference"/>
          <w:color w:val="000000" w:themeColor="text1"/>
        </w:rPr>
        <w:footnoteRef/>
      </w:r>
      <w:r w:rsidRPr="005C5ACB">
        <w:rPr>
          <w:color w:val="000000" w:themeColor="text1"/>
        </w:rPr>
        <w:t xml:space="preserve"> </w:t>
      </w:r>
      <w:r w:rsidRPr="005C5ACB">
        <w:rPr>
          <w:i/>
          <w:color w:val="000000" w:themeColor="text1"/>
        </w:rPr>
        <w:t>Id.</w:t>
      </w:r>
      <w:r w:rsidRPr="005C5ACB">
        <w:rPr>
          <w:color w:val="000000" w:themeColor="text1"/>
        </w:rPr>
        <w:t xml:space="preserve">  </w:t>
      </w:r>
    </w:p>
  </w:footnote>
  <w:footnote w:id="72">
    <w:p w14:paraId="5A485089" w14:textId="77777777" w:rsidR="001414CD" w:rsidRPr="005C5ACB" w:rsidRDefault="001414CD" w:rsidP="00BE67C0">
      <w:pPr>
        <w:pStyle w:val="FootnoteText"/>
        <w:rPr>
          <w:color w:val="000000" w:themeColor="text1"/>
        </w:rPr>
      </w:pPr>
      <w:r w:rsidRPr="005C5ACB">
        <w:rPr>
          <w:rStyle w:val="FootnoteReference"/>
          <w:color w:val="000000" w:themeColor="text1"/>
        </w:rPr>
        <w:footnoteRef/>
      </w:r>
      <w:r w:rsidRPr="005C5ACB">
        <w:rPr>
          <w:color w:val="000000" w:themeColor="text1"/>
        </w:rPr>
        <w:t xml:space="preserve"> SEC Chairman, Jay Clayton reaffirmed these statements on March 12</w:t>
      </w:r>
      <w:r w:rsidRPr="005C5ACB">
        <w:rPr>
          <w:color w:val="000000" w:themeColor="text1"/>
          <w:vertAlign w:val="superscript"/>
        </w:rPr>
        <w:t>th</w:t>
      </w:r>
      <w:r w:rsidRPr="005C5ACB">
        <w:rPr>
          <w:color w:val="000000" w:themeColor="text1"/>
        </w:rPr>
        <w:t xml:space="preserve">, 2019.  </w:t>
      </w:r>
    </w:p>
  </w:footnote>
  <w:footnote w:id="73">
    <w:p w14:paraId="23468CBC" w14:textId="77777777" w:rsidR="001414CD" w:rsidRPr="005C5ACB" w:rsidRDefault="001414CD" w:rsidP="00BE67C0">
      <w:pPr>
        <w:pStyle w:val="FootnoteText"/>
        <w:rPr>
          <w:color w:val="000000" w:themeColor="text1"/>
        </w:rPr>
      </w:pPr>
      <w:r w:rsidRPr="005C5ACB">
        <w:rPr>
          <w:rStyle w:val="FootnoteReference"/>
          <w:color w:val="000000" w:themeColor="text1"/>
        </w:rPr>
        <w:footnoteRef/>
      </w:r>
      <w:r w:rsidRPr="005C5ACB">
        <w:rPr>
          <w:color w:val="000000" w:themeColor="text1"/>
        </w:rPr>
        <w:t xml:space="preserve"> Hinman’s Statements, </w:t>
      </w:r>
      <w:r w:rsidRPr="005C5ACB">
        <w:rPr>
          <w:i/>
          <w:color w:val="000000" w:themeColor="text1"/>
        </w:rPr>
        <w:t xml:space="preserve">supra </w:t>
      </w:r>
      <w:r w:rsidRPr="005C5ACB">
        <w:rPr>
          <w:color w:val="000000" w:themeColor="text1"/>
        </w:rPr>
        <w:t>note 43.</w:t>
      </w:r>
    </w:p>
  </w:footnote>
  <w:footnote w:id="74">
    <w:p w14:paraId="6491D087" w14:textId="77777777" w:rsidR="001414CD" w:rsidRPr="005C5ACB" w:rsidRDefault="001414CD" w:rsidP="00BE67C0">
      <w:pPr>
        <w:pStyle w:val="FootnoteText"/>
        <w:rPr>
          <w:color w:val="000000" w:themeColor="text1"/>
        </w:rPr>
      </w:pPr>
      <w:r w:rsidRPr="005C5ACB">
        <w:rPr>
          <w:rStyle w:val="FootnoteReference"/>
          <w:color w:val="000000" w:themeColor="text1"/>
        </w:rPr>
        <w:footnoteRef/>
      </w:r>
      <w:r w:rsidRPr="005C5ACB">
        <w:rPr>
          <w:color w:val="000000" w:themeColor="text1"/>
        </w:rPr>
        <w:t xml:space="preserve"> </w:t>
      </w:r>
      <w:r w:rsidRPr="005C5ACB">
        <w:rPr>
          <w:i/>
          <w:iCs/>
          <w:color w:val="000000" w:themeColor="text1"/>
        </w:rPr>
        <w:t>In the Matter of Tomahawk Exploration LLC and David Thompson Laurence</w:t>
      </w:r>
      <w:r w:rsidRPr="005C5ACB">
        <w:rPr>
          <w:color w:val="000000" w:themeColor="text1"/>
        </w:rPr>
        <w:t>, Securities Act Rel. No. 33-10530, Exchange Act Rel. No. 34-83839, Admin. Proc. File No. 3-18641 (Aug. 14, 2018)</w:t>
      </w:r>
    </w:p>
  </w:footnote>
  <w:footnote w:id="75">
    <w:p w14:paraId="48F9A8C7" w14:textId="77777777" w:rsidR="001414CD" w:rsidRPr="005C5ACB" w:rsidRDefault="001414CD" w:rsidP="00BE67C0">
      <w:pPr>
        <w:pStyle w:val="FootnoteText"/>
        <w:rPr>
          <w:color w:val="000000" w:themeColor="text1"/>
        </w:rPr>
      </w:pPr>
      <w:r w:rsidRPr="005C5ACB">
        <w:rPr>
          <w:rStyle w:val="FootnoteReference"/>
          <w:color w:val="000000" w:themeColor="text1"/>
        </w:rPr>
        <w:footnoteRef/>
      </w:r>
      <w:r w:rsidRPr="005C5ACB">
        <w:rPr>
          <w:color w:val="000000" w:themeColor="text1"/>
        </w:rPr>
        <w:t xml:space="preserve"> </w:t>
      </w:r>
      <w:r w:rsidRPr="005C5ACB">
        <w:rPr>
          <w:i/>
          <w:iCs/>
          <w:color w:val="000000" w:themeColor="text1"/>
        </w:rPr>
        <w:t>Id</w:t>
      </w:r>
      <w:r w:rsidRPr="005C5ACB">
        <w:rPr>
          <w:color w:val="000000" w:themeColor="text1"/>
        </w:rPr>
        <w:t xml:space="preserve">. </w:t>
      </w:r>
    </w:p>
  </w:footnote>
  <w:footnote w:id="76">
    <w:p w14:paraId="2CCCBD0D" w14:textId="77777777" w:rsidR="001414CD" w:rsidRPr="005C5ACB" w:rsidRDefault="001414CD" w:rsidP="00BE67C0">
      <w:pPr>
        <w:pStyle w:val="FootnoteText"/>
        <w:rPr>
          <w:color w:val="000000" w:themeColor="text1"/>
        </w:rPr>
      </w:pPr>
      <w:r w:rsidRPr="005C5ACB">
        <w:rPr>
          <w:rStyle w:val="FootnoteReference"/>
          <w:color w:val="000000" w:themeColor="text1"/>
        </w:rPr>
        <w:footnoteRef/>
      </w:r>
      <w:r w:rsidRPr="005C5ACB">
        <w:rPr>
          <w:color w:val="000000" w:themeColor="text1"/>
        </w:rPr>
        <w:t xml:space="preserve"> </w:t>
      </w:r>
      <w:r w:rsidRPr="005C5ACB">
        <w:rPr>
          <w:i/>
          <w:iCs/>
          <w:color w:val="000000" w:themeColor="text1"/>
        </w:rPr>
        <w:t>Id</w:t>
      </w:r>
      <w:r w:rsidRPr="005C5ACB">
        <w:rPr>
          <w:color w:val="000000" w:themeColor="text1"/>
        </w:rPr>
        <w:t xml:space="preserve">. </w:t>
      </w:r>
    </w:p>
  </w:footnote>
  <w:footnote w:id="77">
    <w:p w14:paraId="457D5EA2" w14:textId="77777777" w:rsidR="001414CD" w:rsidRPr="005C5ACB" w:rsidRDefault="001414CD" w:rsidP="00BE67C0">
      <w:pPr>
        <w:pStyle w:val="FootnoteText"/>
        <w:rPr>
          <w:color w:val="000000" w:themeColor="text1"/>
        </w:rPr>
      </w:pPr>
      <w:r w:rsidRPr="005C5ACB">
        <w:rPr>
          <w:rStyle w:val="FootnoteReference"/>
          <w:color w:val="000000" w:themeColor="text1"/>
        </w:rPr>
        <w:footnoteRef/>
      </w:r>
      <w:r w:rsidRPr="005C5ACB">
        <w:rPr>
          <w:color w:val="000000" w:themeColor="text1"/>
        </w:rPr>
        <w:t xml:space="preserve"> </w:t>
      </w:r>
      <w:r w:rsidRPr="005C5ACB">
        <w:rPr>
          <w:i/>
          <w:iCs/>
          <w:color w:val="000000" w:themeColor="text1"/>
        </w:rPr>
        <w:t>Id</w:t>
      </w:r>
      <w:r w:rsidRPr="005C5ACB">
        <w:rPr>
          <w:color w:val="000000" w:themeColor="text1"/>
        </w:rPr>
        <w:t xml:space="preserve">. at Para. 33 &amp; 34. </w:t>
      </w:r>
    </w:p>
  </w:footnote>
  <w:footnote w:id="78">
    <w:p w14:paraId="75A44E8E" w14:textId="77777777" w:rsidR="001414CD" w:rsidRPr="005C5ACB" w:rsidRDefault="001414CD" w:rsidP="00BE67C0">
      <w:pPr>
        <w:pStyle w:val="FootnoteText"/>
        <w:rPr>
          <w:color w:val="000000" w:themeColor="text1"/>
        </w:rPr>
      </w:pPr>
      <w:r w:rsidRPr="005C5ACB">
        <w:rPr>
          <w:rStyle w:val="FootnoteReference"/>
          <w:color w:val="000000" w:themeColor="text1"/>
        </w:rPr>
        <w:footnoteRef/>
      </w:r>
      <w:r w:rsidRPr="005C5ACB">
        <w:rPr>
          <w:color w:val="000000" w:themeColor="text1"/>
        </w:rPr>
        <w:t xml:space="preserve"> </w:t>
      </w:r>
      <w:r w:rsidRPr="005C5ACB">
        <w:rPr>
          <w:i/>
          <w:iCs/>
          <w:color w:val="000000" w:themeColor="text1"/>
        </w:rPr>
        <w:t>See</w:t>
      </w:r>
      <w:r w:rsidRPr="005C5ACB">
        <w:rPr>
          <w:color w:val="000000" w:themeColor="text1"/>
        </w:rPr>
        <w:t xml:space="preserve"> </w:t>
      </w:r>
      <w:r w:rsidRPr="005C5ACB">
        <w:rPr>
          <w:i/>
          <w:iCs/>
          <w:color w:val="000000" w:themeColor="text1"/>
        </w:rPr>
        <w:t>SEC v. Sierra Brokerage Servs., Inc.</w:t>
      </w:r>
      <w:r w:rsidRPr="005C5ACB">
        <w:rPr>
          <w:color w:val="000000" w:themeColor="text1"/>
        </w:rPr>
        <w:t>, 712 F.3d 321 (6th Cir. 2013).</w:t>
      </w:r>
    </w:p>
  </w:footnote>
  <w:footnote w:id="79">
    <w:p w14:paraId="69F12970" w14:textId="0F5B540C" w:rsidR="001414CD" w:rsidRPr="005C5ACB" w:rsidRDefault="001414CD" w:rsidP="00D30067">
      <w:pPr>
        <w:rPr>
          <w:color w:val="000000" w:themeColor="text1"/>
          <w:sz w:val="20"/>
          <w:szCs w:val="20"/>
        </w:rPr>
      </w:pPr>
      <w:r w:rsidRPr="005C5ACB">
        <w:rPr>
          <w:rStyle w:val="FootnoteReference"/>
          <w:color w:val="000000" w:themeColor="text1"/>
          <w:sz w:val="20"/>
          <w:szCs w:val="20"/>
        </w:rPr>
        <w:footnoteRef/>
      </w:r>
      <w:r w:rsidRPr="005C5ACB">
        <w:rPr>
          <w:color w:val="000000" w:themeColor="text1"/>
          <w:sz w:val="20"/>
          <w:szCs w:val="20"/>
        </w:rPr>
        <w:t xml:space="preserve"> Press Release, Two ICO Issuers Settle SEC Registration Charges, Agree to Register tokens as Securities, SEC (Nov. 16, 2018), https://www.sec.gov/news/press-release/2018-264.</w:t>
      </w:r>
    </w:p>
  </w:footnote>
  <w:footnote w:id="80">
    <w:p w14:paraId="76F976D7" w14:textId="77777777" w:rsidR="001414CD" w:rsidRPr="001F6965" w:rsidRDefault="001414CD" w:rsidP="0027130A">
      <w:pPr>
        <w:pStyle w:val="FootnoteText"/>
      </w:pPr>
      <w:r w:rsidRPr="004D2847">
        <w:rPr>
          <w:rStyle w:val="FootnoteReference"/>
        </w:rPr>
        <w:footnoteRef/>
      </w:r>
      <w:r>
        <w:t xml:space="preserve">. </w:t>
      </w:r>
      <w:r w:rsidRPr="001F6965">
        <w:rPr>
          <w:i/>
        </w:rPr>
        <w:t xml:space="preserve">Complaint, </w:t>
      </w:r>
      <w:bookmarkStart w:id="0" w:name="_Hlk63674889"/>
      <w:r w:rsidRPr="001F6965">
        <w:rPr>
          <w:i/>
        </w:rPr>
        <w:t>Securities and Exchange Commission v. Ripple Labs, Inc., No 20 Civ. 10832 (S.D.N.Y. filed on Dec. 22, 2020</w:t>
      </w:r>
      <w:bookmarkEnd w:id="0"/>
      <w:r w:rsidRPr="001F6965">
        <w:rPr>
          <w:i/>
        </w:rPr>
        <w:t>)</w:t>
      </w:r>
      <w:r w:rsidRPr="001F6965">
        <w:t xml:space="preserve"> </w:t>
      </w:r>
      <w:r w:rsidRPr="001F6965">
        <w:rPr>
          <w:i/>
        </w:rPr>
        <w:t>https://www.sec.gov/litigation/complaints/2020/comp-pr2020-338.pdf</w:t>
      </w:r>
      <w:r>
        <w:rPr>
          <w:i/>
        </w:rPr>
        <w:t>.</w:t>
      </w:r>
    </w:p>
  </w:footnote>
  <w:footnote w:id="81">
    <w:p w14:paraId="562F46C4" w14:textId="77777777" w:rsidR="001414CD" w:rsidRDefault="001414CD" w:rsidP="00D30067">
      <w:pPr>
        <w:pStyle w:val="FootnoteText"/>
      </w:pPr>
      <w:r>
        <w:rPr>
          <w:rStyle w:val="FootnoteReference"/>
        </w:rPr>
        <w:footnoteRef/>
      </w:r>
      <w:r>
        <w:t xml:space="preserve"> </w:t>
      </w:r>
      <w:r w:rsidRPr="004D2847">
        <w:rPr>
          <w:iCs/>
        </w:rPr>
        <w:t>Strategic Hub for Innovation and Fin. Tech., U.S. Sec. and Exch. Comm’n</w:t>
      </w:r>
      <w:r w:rsidRPr="00EC2C48">
        <w:rPr>
          <w:i/>
        </w:rPr>
        <w:t xml:space="preserve">, Framework for “Investment Contract” Analysis of Digital </w:t>
      </w:r>
      <w:r w:rsidRPr="009B7570">
        <w:rPr>
          <w:i/>
        </w:rPr>
        <w:t>Assets</w:t>
      </w:r>
      <w:r>
        <w:rPr>
          <w:i/>
        </w:rPr>
        <w:t>,</w:t>
      </w:r>
      <w:r>
        <w:rPr>
          <w:iCs/>
        </w:rPr>
        <w:t xml:space="preserve"> (Feb. 8, 2021), </w:t>
      </w:r>
      <w:r w:rsidRPr="004D2847">
        <w:rPr>
          <w:i/>
        </w:rPr>
        <w:t>https</w:t>
      </w:r>
      <w:r w:rsidRPr="00EC2C48">
        <w:t>://www.sec.gov/corpfin/framework-investment-contract-analysis-digital-assets#_edn1</w:t>
      </w:r>
      <w:r w:rsidRPr="00EC2C48">
        <w:rPr>
          <w:i/>
        </w:rPr>
        <w:t>.</w:t>
      </w:r>
    </w:p>
  </w:footnote>
  <w:footnote w:id="82">
    <w:p w14:paraId="3217A057" w14:textId="6EDC6EA1" w:rsidR="001414CD" w:rsidRDefault="001414CD">
      <w:pPr>
        <w:pStyle w:val="FootnoteText"/>
      </w:pPr>
      <w:r>
        <w:rPr>
          <w:rStyle w:val="FootnoteReference"/>
        </w:rPr>
        <w:footnoteRef/>
      </w:r>
      <w:r>
        <w:t xml:space="preserve"> Many of the SEC administrative determinations resulted in a fine amount that dwarfed the amount raised by the token issuer, e.g., Block.one, </w:t>
      </w:r>
      <w:proofErr w:type="spellStart"/>
      <w:r>
        <w:t>Shipchain</w:t>
      </w:r>
      <w:proofErr w:type="spellEnd"/>
      <w:r>
        <w:t xml:space="preserve">, and </w:t>
      </w:r>
      <w:proofErr w:type="spellStart"/>
      <w:r>
        <w:t>EtherDelta</w:t>
      </w:r>
      <w:proofErr w:type="spellEnd"/>
      <w:r>
        <w:t xml:space="preserve">. </w:t>
      </w:r>
    </w:p>
  </w:footnote>
  <w:footnote w:id="83">
    <w:p w14:paraId="0E6BDBB8" w14:textId="77777777" w:rsidR="001414CD" w:rsidRPr="004D2847" w:rsidRDefault="001414CD" w:rsidP="000A3166">
      <w:pPr>
        <w:pStyle w:val="FootnoteText"/>
        <w:rPr>
          <w:i/>
          <w:iCs/>
        </w:rPr>
      </w:pPr>
      <w:r>
        <w:rPr>
          <w:rStyle w:val="FootnoteReference"/>
        </w:rPr>
        <w:footnoteRef/>
      </w:r>
      <w:r>
        <w:t xml:space="preserve"> </w:t>
      </w:r>
      <w:r>
        <w:rPr>
          <w:i/>
          <w:iCs/>
        </w:rPr>
        <w:t xml:space="preserve">Compt. ¶ 38. </w:t>
      </w:r>
    </w:p>
  </w:footnote>
  <w:footnote w:id="84">
    <w:p w14:paraId="5AD8CBF4" w14:textId="77777777" w:rsidR="001414CD" w:rsidRDefault="001414CD" w:rsidP="000A3166">
      <w:pPr>
        <w:pStyle w:val="FootnoteText"/>
      </w:pPr>
      <w:r>
        <w:rPr>
          <w:rStyle w:val="FootnoteReference"/>
        </w:rPr>
        <w:footnoteRef/>
      </w:r>
      <w:r>
        <w:t xml:space="preserve"> Ripple Labs Inc., </w:t>
      </w:r>
      <w:r w:rsidRPr="004D2847">
        <w:rPr>
          <w:i/>
          <w:iCs/>
        </w:rPr>
        <w:t>Free Working Capital with On-Demand Liquidity</w:t>
      </w:r>
      <w:r>
        <w:t xml:space="preserve">, (Feb. 8, 2021), </w:t>
      </w:r>
      <w:r w:rsidRPr="0051426B">
        <w:t>https://ripple.com/ripplenet/on-demand-liquidity</w:t>
      </w:r>
      <w:r>
        <w:t>.</w:t>
      </w:r>
    </w:p>
  </w:footnote>
  <w:footnote w:id="85">
    <w:p w14:paraId="48D7B379" w14:textId="77777777" w:rsidR="001414CD" w:rsidRDefault="001414CD" w:rsidP="00310E5E">
      <w:pPr>
        <w:pStyle w:val="FootnoteText"/>
      </w:pPr>
      <w:r>
        <w:rPr>
          <w:rStyle w:val="FootnoteReference"/>
        </w:rPr>
        <w:footnoteRef/>
      </w:r>
      <w:r>
        <w:t xml:space="preserve"> </w:t>
      </w:r>
      <w:r>
        <w:rPr>
          <w:i/>
          <w:iCs/>
        </w:rPr>
        <w:t>Compt</w:t>
      </w:r>
      <w:r>
        <w:t>. ¶ 79.</w:t>
      </w:r>
    </w:p>
  </w:footnote>
  <w:footnote w:id="86">
    <w:p w14:paraId="160D0BB7" w14:textId="77777777" w:rsidR="001414CD" w:rsidRDefault="001414CD" w:rsidP="00310E5E">
      <w:pPr>
        <w:pStyle w:val="FootnoteText"/>
      </w:pPr>
      <w:r>
        <w:rPr>
          <w:rStyle w:val="FootnoteReference"/>
        </w:rPr>
        <w:footnoteRef/>
      </w:r>
      <w:r>
        <w:t xml:space="preserve"> </w:t>
      </w:r>
      <w:r>
        <w:rPr>
          <w:i/>
          <w:iCs/>
        </w:rPr>
        <w:t>Compt</w:t>
      </w:r>
      <w:r>
        <w:t>. ¶ 82.</w:t>
      </w:r>
    </w:p>
  </w:footnote>
  <w:footnote w:id="87">
    <w:p w14:paraId="0D872E65" w14:textId="77777777" w:rsidR="001414CD" w:rsidRDefault="001414CD" w:rsidP="00310E5E">
      <w:pPr>
        <w:pStyle w:val="FootnoteText"/>
      </w:pPr>
      <w:r>
        <w:rPr>
          <w:rStyle w:val="FootnoteReference"/>
        </w:rPr>
        <w:footnoteRef/>
      </w:r>
      <w:r>
        <w:t xml:space="preserve"> </w:t>
      </w:r>
      <w:r w:rsidRPr="00EC2C48">
        <w:rPr>
          <w:i/>
        </w:rPr>
        <w:t xml:space="preserve">Framework for “Investment Contract” Analysis of Digital </w:t>
      </w:r>
      <w:r w:rsidRPr="008D639E">
        <w:rPr>
          <w:i/>
        </w:rPr>
        <w:t>Assets</w:t>
      </w:r>
      <w:r>
        <w:t>, n.11.</w:t>
      </w:r>
    </w:p>
  </w:footnote>
  <w:footnote w:id="88">
    <w:p w14:paraId="160B940A" w14:textId="77777777" w:rsidR="001414CD" w:rsidRDefault="001414CD" w:rsidP="00310E5E">
      <w:pPr>
        <w:pStyle w:val="FootnoteText"/>
      </w:pPr>
      <w:r>
        <w:rPr>
          <w:rStyle w:val="FootnoteReference"/>
        </w:rPr>
        <w:footnoteRef/>
      </w:r>
      <w:r>
        <w:t xml:space="preserve"> </w:t>
      </w:r>
      <w:r w:rsidRPr="00075E13">
        <w:t>U.S. Sec. &amp; Exch. Comm'n v. Kik Interactive Inc., No. 19 CIV. 5244 (AKH), 2020 WL 5819770, at *5 (S.D.N.Y. Sept. 30, 2020)</w:t>
      </w:r>
      <w:r>
        <w:t>.</w:t>
      </w:r>
    </w:p>
  </w:footnote>
  <w:footnote w:id="89">
    <w:p w14:paraId="553AF1B6" w14:textId="77777777" w:rsidR="001414CD" w:rsidRPr="003A2788" w:rsidRDefault="001414CD" w:rsidP="00310E5E">
      <w:pPr>
        <w:pStyle w:val="FootnoteText"/>
      </w:pPr>
      <w:r>
        <w:rPr>
          <w:rStyle w:val="FootnoteReference"/>
        </w:rPr>
        <w:footnoteRef/>
      </w:r>
      <w:r>
        <w:t xml:space="preserve"> </w:t>
      </w:r>
      <w:r>
        <w:rPr>
          <w:i/>
          <w:iCs/>
        </w:rPr>
        <w:t xml:space="preserve">Compt. </w:t>
      </w:r>
      <w:r>
        <w:t>¶ 265.</w:t>
      </w:r>
    </w:p>
  </w:footnote>
  <w:footnote w:id="90">
    <w:p w14:paraId="07A05AE2" w14:textId="13106391" w:rsidR="00BD2CC6" w:rsidRDefault="00BD2CC6">
      <w:pPr>
        <w:pStyle w:val="FootnoteText"/>
      </w:pPr>
      <w:r>
        <w:rPr>
          <w:rStyle w:val="FootnoteReference"/>
        </w:rPr>
        <w:footnoteRef/>
      </w:r>
      <w:r>
        <w:t xml:space="preserve"> </w:t>
      </w:r>
      <w:r w:rsidRPr="005C5ACB">
        <w:rPr>
          <w:i/>
          <w:color w:val="000000" w:themeColor="text1"/>
        </w:rPr>
        <w:t>Howey</w:t>
      </w:r>
      <w:r w:rsidRPr="005C5ACB">
        <w:rPr>
          <w:color w:val="000000" w:themeColor="text1"/>
        </w:rPr>
        <w:t xml:space="preserve">, </w:t>
      </w:r>
      <w:r w:rsidRPr="005C5ACB">
        <w:rPr>
          <w:i/>
          <w:color w:val="000000" w:themeColor="text1"/>
        </w:rPr>
        <w:t>supra</w:t>
      </w:r>
      <w:r w:rsidRPr="005C5ACB">
        <w:rPr>
          <w:color w:val="000000" w:themeColor="text1"/>
        </w:rPr>
        <w:t xml:space="preserve"> note 6, at 293; </w:t>
      </w:r>
      <w:r w:rsidRPr="005C5ACB">
        <w:rPr>
          <w:i/>
          <w:color w:val="000000" w:themeColor="text1"/>
        </w:rPr>
        <w:t>see e.g., Edwards</w:t>
      </w:r>
      <w:r w:rsidRPr="005C5ACB">
        <w:rPr>
          <w:color w:val="000000" w:themeColor="text1"/>
        </w:rPr>
        <w:t>, 540 U.S. at 390; Sec</w:t>
      </w:r>
      <w:r w:rsidRPr="005C5ACB">
        <w:rPr>
          <w:i/>
          <w:color w:val="000000" w:themeColor="text1"/>
        </w:rPr>
        <w:t>. &amp; Exch. Comm'n v. ETS Payphones, Inc.</w:t>
      </w:r>
      <w:r w:rsidRPr="005C5ACB">
        <w:rPr>
          <w:color w:val="000000" w:themeColor="text1"/>
        </w:rPr>
        <w:t>, 300 F.3d 1281, 1282-84 (11th Cir. 2002).</w:t>
      </w:r>
    </w:p>
  </w:footnote>
  <w:footnote w:id="91">
    <w:p w14:paraId="5157C828" w14:textId="77777777" w:rsidR="001414CD" w:rsidRDefault="001414CD" w:rsidP="00310E5E">
      <w:pPr>
        <w:pStyle w:val="FootnoteText"/>
        <w:ind w:left="720" w:hanging="720"/>
      </w:pPr>
      <w:r>
        <w:rPr>
          <w:rStyle w:val="FootnoteReference"/>
        </w:rPr>
        <w:footnoteRef/>
      </w:r>
      <w:r>
        <w:t xml:space="preserve"> </w:t>
      </w:r>
      <w:r>
        <w:rPr>
          <w:i/>
          <w:iCs/>
        </w:rPr>
        <w:t>Compt</w:t>
      </w:r>
      <w:r>
        <w:t>. ¶ 216</w:t>
      </w:r>
    </w:p>
  </w:footnote>
  <w:footnote w:id="92">
    <w:p w14:paraId="2FA675BB" w14:textId="77777777" w:rsidR="001414CD" w:rsidRDefault="001414CD" w:rsidP="00310E5E">
      <w:pPr>
        <w:pStyle w:val="FootnoteText"/>
        <w:ind w:left="720" w:hanging="720"/>
      </w:pPr>
      <w:r>
        <w:rPr>
          <w:rStyle w:val="FootnoteReference"/>
        </w:rPr>
        <w:footnoteRef/>
      </w:r>
      <w:r>
        <w:t xml:space="preserve"> </w:t>
      </w:r>
      <w:r>
        <w:rPr>
          <w:i/>
          <w:iCs/>
        </w:rPr>
        <w:t>Compt</w:t>
      </w:r>
      <w:r>
        <w:t>. ¶ 170</w:t>
      </w:r>
    </w:p>
  </w:footnote>
  <w:footnote w:id="93">
    <w:p w14:paraId="1FFF608D" w14:textId="77777777" w:rsidR="001414CD" w:rsidRDefault="001414CD" w:rsidP="00310E5E">
      <w:pPr>
        <w:pStyle w:val="FootnoteText"/>
        <w:ind w:left="720" w:hanging="720"/>
      </w:pPr>
      <w:r>
        <w:rPr>
          <w:rStyle w:val="FootnoteReference"/>
        </w:rPr>
        <w:footnoteRef/>
      </w:r>
      <w:r>
        <w:t xml:space="preserve"> </w:t>
      </w:r>
      <w:r>
        <w:rPr>
          <w:i/>
          <w:iCs/>
        </w:rPr>
        <w:t>Compt</w:t>
      </w:r>
      <w:r>
        <w:t>. ¶ 257</w:t>
      </w:r>
    </w:p>
  </w:footnote>
  <w:footnote w:id="94">
    <w:p w14:paraId="3E48E589" w14:textId="77777777" w:rsidR="00A8327B" w:rsidRPr="005C5ACB" w:rsidRDefault="00A8327B" w:rsidP="00A8327B">
      <w:pPr>
        <w:pStyle w:val="FootnoteText"/>
        <w:rPr>
          <w:color w:val="000000" w:themeColor="text1"/>
        </w:rPr>
      </w:pPr>
      <w:r w:rsidRPr="005C5ACB">
        <w:rPr>
          <w:rStyle w:val="FootnoteReference"/>
          <w:color w:val="000000" w:themeColor="text1"/>
        </w:rPr>
        <w:footnoteRef/>
      </w:r>
      <w:r w:rsidRPr="005C5ACB">
        <w:rPr>
          <w:color w:val="000000" w:themeColor="text1"/>
        </w:rPr>
        <w:t xml:space="preserve"> </w:t>
      </w:r>
      <w:r w:rsidRPr="005C5ACB">
        <w:rPr>
          <w:i/>
          <w:color w:val="000000" w:themeColor="text1"/>
        </w:rPr>
        <w:t xml:space="preserve">ETS Payphones, </w:t>
      </w:r>
      <w:r w:rsidRPr="005C5ACB">
        <w:rPr>
          <w:color w:val="000000" w:themeColor="text1"/>
        </w:rPr>
        <w:t xml:space="preserve">300 F.3d at 1284. </w:t>
      </w:r>
    </w:p>
  </w:footnote>
  <w:footnote w:id="95">
    <w:p w14:paraId="2327BDFE" w14:textId="77777777" w:rsidR="001414CD" w:rsidRDefault="001414CD" w:rsidP="00310E5E">
      <w:pPr>
        <w:pStyle w:val="FootnoteText"/>
      </w:pPr>
      <w:r>
        <w:rPr>
          <w:rStyle w:val="FootnoteReference"/>
        </w:rPr>
        <w:footnoteRef/>
      </w:r>
      <w:r>
        <w:t xml:space="preserve"> </w:t>
      </w:r>
      <w:r w:rsidRPr="00075E13">
        <w:rPr>
          <w:i/>
          <w:iCs/>
        </w:rPr>
        <w:t>Compt</w:t>
      </w:r>
      <w:r>
        <w:rPr>
          <w:i/>
          <w:iCs/>
        </w:rPr>
        <w:t>.</w:t>
      </w:r>
      <w:r>
        <w:t xml:space="preserve"> ¶ </w:t>
      </w:r>
      <w:r w:rsidRPr="004D2847">
        <w:rPr>
          <w:i/>
          <w:iCs/>
        </w:rPr>
        <w:t>256</w:t>
      </w:r>
    </w:p>
  </w:footnote>
  <w:footnote w:id="96">
    <w:p w14:paraId="68041B31" w14:textId="70653331" w:rsidR="001414CD" w:rsidRPr="00A8327B" w:rsidRDefault="001414CD" w:rsidP="00310E5E">
      <w:pPr>
        <w:pStyle w:val="FootnoteText"/>
        <w:rPr>
          <w:b/>
          <w:bCs/>
        </w:rPr>
      </w:pPr>
      <w:r>
        <w:rPr>
          <w:rStyle w:val="FootnoteReference"/>
        </w:rPr>
        <w:footnoteRef/>
      </w:r>
      <w:r>
        <w:t xml:space="preserve"> </w:t>
      </w:r>
      <w:r w:rsidRPr="004D2847">
        <w:rPr>
          <w:i/>
          <w:iCs/>
        </w:rPr>
        <w:t>First Mover: XRP Plunges 20% as Traders Assess SEC’s Ripple Suit</w:t>
      </w:r>
      <w:r>
        <w:t>, Coindesk.com, (Feb 5</w:t>
      </w:r>
      <w:r w:rsidRPr="009E72F2">
        <w:t>th</w:t>
      </w:r>
      <w:r>
        <w:t xml:space="preserve">, 2021), </w:t>
      </w:r>
      <w:hyperlink r:id="rId6" w:history="1">
        <w:r w:rsidRPr="00AD64A1">
          <w:rPr>
            <w:rStyle w:val="Hyperlink"/>
          </w:rPr>
          <w:t>https://www.coindesk.com/first-mover-xrp-plunges-sec-ripple-suit</w:t>
        </w:r>
      </w:hyperlink>
      <w:r>
        <w:t xml:space="preserve">. </w:t>
      </w:r>
    </w:p>
  </w:footnote>
  <w:footnote w:id="97">
    <w:p w14:paraId="009410C1" w14:textId="77777777" w:rsidR="001414CD" w:rsidRDefault="001414CD" w:rsidP="00310E5E">
      <w:pPr>
        <w:pStyle w:val="FootnoteText"/>
      </w:pPr>
      <w:r>
        <w:rPr>
          <w:rStyle w:val="FootnoteReference"/>
        </w:rPr>
        <w:footnoteRef/>
      </w:r>
      <w:r>
        <w:t xml:space="preserve"> </w:t>
      </w:r>
      <w:r w:rsidRPr="004D2847">
        <w:rPr>
          <w:i/>
          <w:iCs/>
        </w:rPr>
        <w:t>Coinbase to Suspend XRP Trading Following SEC Suit Against Ripple</w:t>
      </w:r>
      <w:r>
        <w:t xml:space="preserve">, Coindesk.com, (Feb 5th, 2021), </w:t>
      </w:r>
      <w:hyperlink r:id="rId7" w:history="1">
        <w:r w:rsidRPr="00AD64A1">
          <w:rPr>
            <w:rStyle w:val="Hyperlink"/>
          </w:rPr>
          <w:t>https://www.coindesk.com/coinbase-suspends-xrp-trading</w:t>
        </w:r>
      </w:hyperlink>
      <w:r>
        <w:t>.</w:t>
      </w:r>
    </w:p>
  </w:footnote>
  <w:footnote w:id="98">
    <w:p w14:paraId="4B536972" w14:textId="77777777" w:rsidR="001414CD" w:rsidRDefault="001414CD" w:rsidP="00310E5E">
      <w:pPr>
        <w:pStyle w:val="FootnoteText"/>
      </w:pPr>
      <w:r>
        <w:rPr>
          <w:rStyle w:val="FootnoteReference"/>
        </w:rPr>
        <w:footnoteRef/>
      </w:r>
      <w:r>
        <w:t xml:space="preserve"> </w:t>
      </w:r>
      <w:r w:rsidRPr="009E72F2">
        <w:t>Tetragon Sues Ripple to Force Stock Redemption</w:t>
      </w:r>
      <w:r>
        <w:t xml:space="preserve">, Coindesk.com, (Feb 5th, 2021”, </w:t>
      </w:r>
      <w:hyperlink r:id="rId8" w:history="1">
        <w:r w:rsidRPr="00AD64A1">
          <w:rPr>
            <w:rStyle w:val="Hyperlink"/>
          </w:rPr>
          <w:t>https://www.coindesk.com/tetragon-sues-ripple-stock-redemption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45D4B" w14:textId="71025674" w:rsidR="001414CD" w:rsidRDefault="001414CD">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4F2744"/>
    <w:multiLevelType w:val="hybridMultilevel"/>
    <w:tmpl w:val="86A61112"/>
    <w:lvl w:ilvl="0" w:tplc="D5B895E0">
      <w:start w:val="267"/>
      <w:numFmt w:val="bullet"/>
      <w:lvlText w:val=""/>
      <w:lvlJc w:val="left"/>
      <w:pPr>
        <w:ind w:left="360" w:hanging="360"/>
      </w:pPr>
      <w:rPr>
        <w:rFonts w:ascii="Wingdings" w:eastAsia="Times New Roman" w:hAnsi="Wingdings"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176395"/>
    <w:multiLevelType w:val="hybridMultilevel"/>
    <w:tmpl w:val="2CB0C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97B85"/>
    <w:multiLevelType w:val="hybridMultilevel"/>
    <w:tmpl w:val="61E4FBDA"/>
    <w:lvl w:ilvl="0" w:tplc="9498352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6E1FB6"/>
    <w:multiLevelType w:val="multilevel"/>
    <w:tmpl w:val="88465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353B95"/>
    <w:multiLevelType w:val="hybridMultilevel"/>
    <w:tmpl w:val="70E200F6"/>
    <w:lvl w:ilvl="0" w:tplc="559230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934712"/>
    <w:multiLevelType w:val="hybridMultilevel"/>
    <w:tmpl w:val="2A543E3A"/>
    <w:lvl w:ilvl="0" w:tplc="BCAEE8E2">
      <w:start w:val="1"/>
      <w:numFmt w:val="upperRoman"/>
      <w:lvlText w:val="%1."/>
      <w:lvlJc w:val="right"/>
      <w:pPr>
        <w:ind w:left="720" w:hanging="360"/>
      </w:pPr>
      <w:rPr>
        <w:b/>
        <w:i w:val="0"/>
      </w:rPr>
    </w:lvl>
    <w:lvl w:ilvl="1" w:tplc="B9268EFA">
      <w:start w:val="1"/>
      <w:numFmt w:val="upperLetter"/>
      <w:lvlText w:val="%2."/>
      <w:lvlJc w:val="left"/>
      <w:pPr>
        <w:ind w:left="1440" w:hanging="360"/>
      </w:pPr>
      <w:rPr>
        <w:b/>
        <w:i w:val="0"/>
      </w:rPr>
    </w:lvl>
    <w:lvl w:ilvl="2" w:tplc="81B8D0EA">
      <w:start w:val="1"/>
      <w:numFmt w:val="lowerRoman"/>
      <w:lvlText w:val="%3."/>
      <w:lvlJc w:val="right"/>
      <w:pPr>
        <w:ind w:left="2160" w:hanging="180"/>
      </w:pPr>
      <w:rPr>
        <w:b w:val="0"/>
        <w:i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C218EF"/>
    <w:multiLevelType w:val="hybridMultilevel"/>
    <w:tmpl w:val="0F6A9A16"/>
    <w:lvl w:ilvl="0" w:tplc="0409001B">
      <w:start w:val="1"/>
      <w:numFmt w:val="lowerRoman"/>
      <w:lvlText w:val="%1."/>
      <w:lvlJc w:val="right"/>
      <w:pPr>
        <w:ind w:left="23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5C2227"/>
    <w:multiLevelType w:val="hybridMultilevel"/>
    <w:tmpl w:val="2F1E127E"/>
    <w:lvl w:ilvl="0" w:tplc="EE1E96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A6006B3"/>
    <w:multiLevelType w:val="hybridMultilevel"/>
    <w:tmpl w:val="814E0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202AC1"/>
    <w:multiLevelType w:val="hybridMultilevel"/>
    <w:tmpl w:val="F56859BA"/>
    <w:lvl w:ilvl="0" w:tplc="04090013">
      <w:start w:val="1"/>
      <w:numFmt w:val="upperRoman"/>
      <w:lvlText w:val="%1."/>
      <w:lvlJc w:val="right"/>
      <w:pPr>
        <w:ind w:left="720" w:hanging="360"/>
      </w:pPr>
    </w:lvl>
    <w:lvl w:ilvl="1" w:tplc="36EC68DA">
      <w:start w:val="1"/>
      <w:numFmt w:val="upperLetter"/>
      <w:lvlText w:val="%2."/>
      <w:lvlJc w:val="left"/>
      <w:pPr>
        <w:ind w:left="1440" w:hanging="360"/>
      </w:pPr>
      <w:rPr>
        <w:rFonts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B05EB1"/>
    <w:multiLevelType w:val="hybridMultilevel"/>
    <w:tmpl w:val="10666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067905"/>
    <w:multiLevelType w:val="hybridMultilevel"/>
    <w:tmpl w:val="E4D697D2"/>
    <w:lvl w:ilvl="0" w:tplc="C578315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4C225F"/>
    <w:multiLevelType w:val="multilevel"/>
    <w:tmpl w:val="914EEE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6394034E"/>
    <w:multiLevelType w:val="multilevel"/>
    <w:tmpl w:val="012A2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3D16A4"/>
    <w:multiLevelType w:val="hybridMultilevel"/>
    <w:tmpl w:val="A114F7CE"/>
    <w:lvl w:ilvl="0" w:tplc="5DEC9818">
      <w:start w:val="1"/>
      <w:numFmt w:val="bullet"/>
      <w:lvlText w:val="•"/>
      <w:lvlJc w:val="left"/>
      <w:pPr>
        <w:tabs>
          <w:tab w:val="num" w:pos="720"/>
        </w:tabs>
        <w:ind w:left="720" w:hanging="360"/>
      </w:pPr>
      <w:rPr>
        <w:rFonts w:ascii="Arial" w:hAnsi="Arial" w:hint="default"/>
      </w:rPr>
    </w:lvl>
    <w:lvl w:ilvl="1" w:tplc="39F491D8">
      <w:numFmt w:val="bullet"/>
      <w:lvlText w:val="•"/>
      <w:lvlJc w:val="left"/>
      <w:pPr>
        <w:tabs>
          <w:tab w:val="num" w:pos="1440"/>
        </w:tabs>
        <w:ind w:left="1440" w:hanging="360"/>
      </w:pPr>
      <w:rPr>
        <w:rFonts w:ascii="Arial" w:hAnsi="Arial" w:hint="default"/>
      </w:rPr>
    </w:lvl>
    <w:lvl w:ilvl="2" w:tplc="6FB2814A" w:tentative="1">
      <w:start w:val="1"/>
      <w:numFmt w:val="bullet"/>
      <w:lvlText w:val="•"/>
      <w:lvlJc w:val="left"/>
      <w:pPr>
        <w:tabs>
          <w:tab w:val="num" w:pos="2160"/>
        </w:tabs>
        <w:ind w:left="2160" w:hanging="360"/>
      </w:pPr>
      <w:rPr>
        <w:rFonts w:ascii="Arial" w:hAnsi="Arial" w:hint="default"/>
      </w:rPr>
    </w:lvl>
    <w:lvl w:ilvl="3" w:tplc="514E7C36" w:tentative="1">
      <w:start w:val="1"/>
      <w:numFmt w:val="bullet"/>
      <w:lvlText w:val="•"/>
      <w:lvlJc w:val="left"/>
      <w:pPr>
        <w:tabs>
          <w:tab w:val="num" w:pos="2880"/>
        </w:tabs>
        <w:ind w:left="2880" w:hanging="360"/>
      </w:pPr>
      <w:rPr>
        <w:rFonts w:ascii="Arial" w:hAnsi="Arial" w:hint="default"/>
      </w:rPr>
    </w:lvl>
    <w:lvl w:ilvl="4" w:tplc="C40ECFFC" w:tentative="1">
      <w:start w:val="1"/>
      <w:numFmt w:val="bullet"/>
      <w:lvlText w:val="•"/>
      <w:lvlJc w:val="left"/>
      <w:pPr>
        <w:tabs>
          <w:tab w:val="num" w:pos="3600"/>
        </w:tabs>
        <w:ind w:left="3600" w:hanging="360"/>
      </w:pPr>
      <w:rPr>
        <w:rFonts w:ascii="Arial" w:hAnsi="Arial" w:hint="default"/>
      </w:rPr>
    </w:lvl>
    <w:lvl w:ilvl="5" w:tplc="B1F82662" w:tentative="1">
      <w:start w:val="1"/>
      <w:numFmt w:val="bullet"/>
      <w:lvlText w:val="•"/>
      <w:lvlJc w:val="left"/>
      <w:pPr>
        <w:tabs>
          <w:tab w:val="num" w:pos="4320"/>
        </w:tabs>
        <w:ind w:left="4320" w:hanging="360"/>
      </w:pPr>
      <w:rPr>
        <w:rFonts w:ascii="Arial" w:hAnsi="Arial" w:hint="default"/>
      </w:rPr>
    </w:lvl>
    <w:lvl w:ilvl="6" w:tplc="F8DCC5F6" w:tentative="1">
      <w:start w:val="1"/>
      <w:numFmt w:val="bullet"/>
      <w:lvlText w:val="•"/>
      <w:lvlJc w:val="left"/>
      <w:pPr>
        <w:tabs>
          <w:tab w:val="num" w:pos="5040"/>
        </w:tabs>
        <w:ind w:left="5040" w:hanging="360"/>
      </w:pPr>
      <w:rPr>
        <w:rFonts w:ascii="Arial" w:hAnsi="Arial" w:hint="default"/>
      </w:rPr>
    </w:lvl>
    <w:lvl w:ilvl="7" w:tplc="F8CA1EE0" w:tentative="1">
      <w:start w:val="1"/>
      <w:numFmt w:val="bullet"/>
      <w:lvlText w:val="•"/>
      <w:lvlJc w:val="left"/>
      <w:pPr>
        <w:tabs>
          <w:tab w:val="num" w:pos="5760"/>
        </w:tabs>
        <w:ind w:left="5760" w:hanging="360"/>
      </w:pPr>
      <w:rPr>
        <w:rFonts w:ascii="Arial" w:hAnsi="Arial" w:hint="default"/>
      </w:rPr>
    </w:lvl>
    <w:lvl w:ilvl="8" w:tplc="C53C114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7200B90"/>
    <w:multiLevelType w:val="hybridMultilevel"/>
    <w:tmpl w:val="92846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4154FB"/>
    <w:multiLevelType w:val="multilevel"/>
    <w:tmpl w:val="98E0452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85C6F42"/>
    <w:multiLevelType w:val="hybridMultilevel"/>
    <w:tmpl w:val="0F2EC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5A3C30"/>
    <w:multiLevelType w:val="hybridMultilevel"/>
    <w:tmpl w:val="5FBC0D72"/>
    <w:lvl w:ilvl="0" w:tplc="B9268EFA">
      <w:start w:val="1"/>
      <w:numFmt w:val="upperLetter"/>
      <w:lvlText w:val="%1."/>
      <w:lvlJc w:val="left"/>
      <w:pPr>
        <w:ind w:left="144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8"/>
  </w:num>
  <w:num w:numId="3">
    <w:abstractNumId w:val="6"/>
  </w:num>
  <w:num w:numId="4">
    <w:abstractNumId w:val="17"/>
  </w:num>
  <w:num w:numId="5">
    <w:abstractNumId w:val="0"/>
  </w:num>
  <w:num w:numId="6">
    <w:abstractNumId w:val="4"/>
  </w:num>
  <w:num w:numId="7">
    <w:abstractNumId w:val="14"/>
  </w:num>
  <w:num w:numId="8">
    <w:abstractNumId w:val="2"/>
  </w:num>
  <w:num w:numId="9">
    <w:abstractNumId w:val="1"/>
  </w:num>
  <w:num w:numId="10">
    <w:abstractNumId w:val="8"/>
  </w:num>
  <w:num w:numId="11">
    <w:abstractNumId w:val="11"/>
  </w:num>
  <w:num w:numId="12">
    <w:abstractNumId w:val="7"/>
  </w:num>
  <w:num w:numId="13">
    <w:abstractNumId w:val="19"/>
  </w:num>
  <w:num w:numId="14">
    <w:abstractNumId w:val="15"/>
  </w:num>
  <w:num w:numId="15">
    <w:abstractNumId w:val="9"/>
  </w:num>
  <w:num w:numId="16">
    <w:abstractNumId w:val="16"/>
  </w:num>
  <w:num w:numId="17">
    <w:abstractNumId w:val="10"/>
  </w:num>
  <w:num w:numId="18">
    <w:abstractNumId w:val="3"/>
  </w:num>
  <w:num w:numId="19">
    <w:abstractNumId w:val="12"/>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45"/>
    <w:rsid w:val="000010A4"/>
    <w:rsid w:val="00003C45"/>
    <w:rsid w:val="00006431"/>
    <w:rsid w:val="00007DA1"/>
    <w:rsid w:val="00010F5E"/>
    <w:rsid w:val="00011F77"/>
    <w:rsid w:val="000123EF"/>
    <w:rsid w:val="000207BD"/>
    <w:rsid w:val="0002205C"/>
    <w:rsid w:val="00025614"/>
    <w:rsid w:val="000322A4"/>
    <w:rsid w:val="000350E3"/>
    <w:rsid w:val="00045B1E"/>
    <w:rsid w:val="0005488F"/>
    <w:rsid w:val="00067F2F"/>
    <w:rsid w:val="00080364"/>
    <w:rsid w:val="00083C14"/>
    <w:rsid w:val="00087F8F"/>
    <w:rsid w:val="000904C7"/>
    <w:rsid w:val="00090C0E"/>
    <w:rsid w:val="00091301"/>
    <w:rsid w:val="00092390"/>
    <w:rsid w:val="00092697"/>
    <w:rsid w:val="00092D2A"/>
    <w:rsid w:val="000930E8"/>
    <w:rsid w:val="00093B53"/>
    <w:rsid w:val="000A3166"/>
    <w:rsid w:val="000A742B"/>
    <w:rsid w:val="000B0455"/>
    <w:rsid w:val="000B12A4"/>
    <w:rsid w:val="000B1615"/>
    <w:rsid w:val="000B16C6"/>
    <w:rsid w:val="000B3A37"/>
    <w:rsid w:val="000B3AE8"/>
    <w:rsid w:val="000B5F85"/>
    <w:rsid w:val="000B7A51"/>
    <w:rsid w:val="000C3DFA"/>
    <w:rsid w:val="000C7A20"/>
    <w:rsid w:val="000D04F5"/>
    <w:rsid w:val="000D1CAB"/>
    <w:rsid w:val="000D439C"/>
    <w:rsid w:val="000D54FA"/>
    <w:rsid w:val="000D7F19"/>
    <w:rsid w:val="000E5974"/>
    <w:rsid w:val="000F3EF7"/>
    <w:rsid w:val="000F4626"/>
    <w:rsid w:val="001144E9"/>
    <w:rsid w:val="00115378"/>
    <w:rsid w:val="0012032A"/>
    <w:rsid w:val="00125158"/>
    <w:rsid w:val="001343E8"/>
    <w:rsid w:val="001405D7"/>
    <w:rsid w:val="001407A8"/>
    <w:rsid w:val="00141089"/>
    <w:rsid w:val="001414CD"/>
    <w:rsid w:val="00143EDE"/>
    <w:rsid w:val="00145F9A"/>
    <w:rsid w:val="00146813"/>
    <w:rsid w:val="00150635"/>
    <w:rsid w:val="001514E5"/>
    <w:rsid w:val="00153267"/>
    <w:rsid w:val="00153856"/>
    <w:rsid w:val="001608F0"/>
    <w:rsid w:val="0016425D"/>
    <w:rsid w:val="0016491F"/>
    <w:rsid w:val="00164B7D"/>
    <w:rsid w:val="0017183E"/>
    <w:rsid w:val="001746B8"/>
    <w:rsid w:val="001774B6"/>
    <w:rsid w:val="00177C7C"/>
    <w:rsid w:val="00181D3D"/>
    <w:rsid w:val="00182CAA"/>
    <w:rsid w:val="001830AA"/>
    <w:rsid w:val="001864E6"/>
    <w:rsid w:val="0019429F"/>
    <w:rsid w:val="00196E13"/>
    <w:rsid w:val="001A1DB5"/>
    <w:rsid w:val="001A3642"/>
    <w:rsid w:val="001A4D7D"/>
    <w:rsid w:val="001A62DF"/>
    <w:rsid w:val="001A797F"/>
    <w:rsid w:val="001B0C40"/>
    <w:rsid w:val="001B6A37"/>
    <w:rsid w:val="001C14D5"/>
    <w:rsid w:val="001D0C4E"/>
    <w:rsid w:val="001D420E"/>
    <w:rsid w:val="001D6FD6"/>
    <w:rsid w:val="001D7C1E"/>
    <w:rsid w:val="001E0CDD"/>
    <w:rsid w:val="001E623E"/>
    <w:rsid w:val="001E7187"/>
    <w:rsid w:val="001F2F82"/>
    <w:rsid w:val="001F4C73"/>
    <w:rsid w:val="001F5AC3"/>
    <w:rsid w:val="00200FC2"/>
    <w:rsid w:val="00203A9D"/>
    <w:rsid w:val="0021266B"/>
    <w:rsid w:val="00214A7C"/>
    <w:rsid w:val="002214DA"/>
    <w:rsid w:val="00224081"/>
    <w:rsid w:val="002252F8"/>
    <w:rsid w:val="0022549A"/>
    <w:rsid w:val="0022605F"/>
    <w:rsid w:val="0022757B"/>
    <w:rsid w:val="00242C07"/>
    <w:rsid w:val="002468C3"/>
    <w:rsid w:val="0025228C"/>
    <w:rsid w:val="0025719F"/>
    <w:rsid w:val="00266B43"/>
    <w:rsid w:val="00267B88"/>
    <w:rsid w:val="0027130A"/>
    <w:rsid w:val="00271360"/>
    <w:rsid w:val="00271EC1"/>
    <w:rsid w:val="00273DAE"/>
    <w:rsid w:val="002746B8"/>
    <w:rsid w:val="00276D46"/>
    <w:rsid w:val="00280E93"/>
    <w:rsid w:val="00282F04"/>
    <w:rsid w:val="002858DB"/>
    <w:rsid w:val="00286F05"/>
    <w:rsid w:val="00287CFF"/>
    <w:rsid w:val="00293762"/>
    <w:rsid w:val="002A36D7"/>
    <w:rsid w:val="002A5883"/>
    <w:rsid w:val="002A6BD4"/>
    <w:rsid w:val="002A6D4F"/>
    <w:rsid w:val="002B6DA5"/>
    <w:rsid w:val="002B7615"/>
    <w:rsid w:val="002C6DF2"/>
    <w:rsid w:val="002C711A"/>
    <w:rsid w:val="002C7F04"/>
    <w:rsid w:val="002D0466"/>
    <w:rsid w:val="002D5EED"/>
    <w:rsid w:val="002E3127"/>
    <w:rsid w:val="002E5CC0"/>
    <w:rsid w:val="002F00AB"/>
    <w:rsid w:val="002F3F96"/>
    <w:rsid w:val="002F4251"/>
    <w:rsid w:val="002F51CB"/>
    <w:rsid w:val="002F57EC"/>
    <w:rsid w:val="002F7115"/>
    <w:rsid w:val="00300445"/>
    <w:rsid w:val="00302161"/>
    <w:rsid w:val="00302830"/>
    <w:rsid w:val="00310E5E"/>
    <w:rsid w:val="0031574A"/>
    <w:rsid w:val="00321269"/>
    <w:rsid w:val="00321FCB"/>
    <w:rsid w:val="00324116"/>
    <w:rsid w:val="00330D55"/>
    <w:rsid w:val="003328FC"/>
    <w:rsid w:val="00340B5D"/>
    <w:rsid w:val="003440F1"/>
    <w:rsid w:val="0034618A"/>
    <w:rsid w:val="0035183E"/>
    <w:rsid w:val="00357E7A"/>
    <w:rsid w:val="00367D9B"/>
    <w:rsid w:val="00371EB6"/>
    <w:rsid w:val="00372181"/>
    <w:rsid w:val="0038246C"/>
    <w:rsid w:val="0039174F"/>
    <w:rsid w:val="00391C25"/>
    <w:rsid w:val="003929A9"/>
    <w:rsid w:val="00393F08"/>
    <w:rsid w:val="00394B53"/>
    <w:rsid w:val="003A236F"/>
    <w:rsid w:val="003A2A49"/>
    <w:rsid w:val="003A3051"/>
    <w:rsid w:val="003A728E"/>
    <w:rsid w:val="003B0912"/>
    <w:rsid w:val="003B2D07"/>
    <w:rsid w:val="003B2DF6"/>
    <w:rsid w:val="003B5BEA"/>
    <w:rsid w:val="003B767A"/>
    <w:rsid w:val="003C3B2B"/>
    <w:rsid w:val="003D1C9C"/>
    <w:rsid w:val="003D22E8"/>
    <w:rsid w:val="003D6532"/>
    <w:rsid w:val="003E2B93"/>
    <w:rsid w:val="003E30A4"/>
    <w:rsid w:val="003E3B20"/>
    <w:rsid w:val="003E41A1"/>
    <w:rsid w:val="003E740B"/>
    <w:rsid w:val="003F14AB"/>
    <w:rsid w:val="003F1F9B"/>
    <w:rsid w:val="003F3857"/>
    <w:rsid w:val="003F3DB6"/>
    <w:rsid w:val="003F71FD"/>
    <w:rsid w:val="00400982"/>
    <w:rsid w:val="004017A0"/>
    <w:rsid w:val="0040665F"/>
    <w:rsid w:val="00407F29"/>
    <w:rsid w:val="00417473"/>
    <w:rsid w:val="00417E36"/>
    <w:rsid w:val="00422D40"/>
    <w:rsid w:val="00423CB0"/>
    <w:rsid w:val="00424FE4"/>
    <w:rsid w:val="00425EFA"/>
    <w:rsid w:val="00433291"/>
    <w:rsid w:val="00434412"/>
    <w:rsid w:val="0043762A"/>
    <w:rsid w:val="00442B16"/>
    <w:rsid w:val="0044415F"/>
    <w:rsid w:val="00445C90"/>
    <w:rsid w:val="00455244"/>
    <w:rsid w:val="0045561D"/>
    <w:rsid w:val="0046360C"/>
    <w:rsid w:val="004662E6"/>
    <w:rsid w:val="00473791"/>
    <w:rsid w:val="00477AF1"/>
    <w:rsid w:val="004865D9"/>
    <w:rsid w:val="0049026F"/>
    <w:rsid w:val="00493103"/>
    <w:rsid w:val="00496A66"/>
    <w:rsid w:val="00497A19"/>
    <w:rsid w:val="004A0DAE"/>
    <w:rsid w:val="004A401C"/>
    <w:rsid w:val="004A6FEF"/>
    <w:rsid w:val="004A7CAB"/>
    <w:rsid w:val="004B0191"/>
    <w:rsid w:val="004B78F7"/>
    <w:rsid w:val="004C0400"/>
    <w:rsid w:val="004C0AFD"/>
    <w:rsid w:val="004C13FF"/>
    <w:rsid w:val="004C730B"/>
    <w:rsid w:val="004D2C43"/>
    <w:rsid w:val="004D582D"/>
    <w:rsid w:val="004D6968"/>
    <w:rsid w:val="004E1B41"/>
    <w:rsid w:val="004E2CE9"/>
    <w:rsid w:val="004E5428"/>
    <w:rsid w:val="004F313F"/>
    <w:rsid w:val="004F6228"/>
    <w:rsid w:val="004F6821"/>
    <w:rsid w:val="004F71A6"/>
    <w:rsid w:val="004F792E"/>
    <w:rsid w:val="0050537F"/>
    <w:rsid w:val="00510964"/>
    <w:rsid w:val="00513E5B"/>
    <w:rsid w:val="00520108"/>
    <w:rsid w:val="00520F3E"/>
    <w:rsid w:val="005255E8"/>
    <w:rsid w:val="005325A0"/>
    <w:rsid w:val="00544857"/>
    <w:rsid w:val="00544BBB"/>
    <w:rsid w:val="005508F2"/>
    <w:rsid w:val="00551418"/>
    <w:rsid w:val="005601F4"/>
    <w:rsid w:val="00562380"/>
    <w:rsid w:val="00567E31"/>
    <w:rsid w:val="00570E9B"/>
    <w:rsid w:val="00573E66"/>
    <w:rsid w:val="005861F4"/>
    <w:rsid w:val="00586B98"/>
    <w:rsid w:val="00590018"/>
    <w:rsid w:val="005941E9"/>
    <w:rsid w:val="0059775D"/>
    <w:rsid w:val="005A3F8C"/>
    <w:rsid w:val="005B0D48"/>
    <w:rsid w:val="005B1518"/>
    <w:rsid w:val="005B696E"/>
    <w:rsid w:val="005C3012"/>
    <w:rsid w:val="005C3D42"/>
    <w:rsid w:val="005C4BDE"/>
    <w:rsid w:val="005C55E7"/>
    <w:rsid w:val="005C5ACB"/>
    <w:rsid w:val="005C6971"/>
    <w:rsid w:val="005D5A73"/>
    <w:rsid w:val="005D76F8"/>
    <w:rsid w:val="005E24E3"/>
    <w:rsid w:val="005E40E3"/>
    <w:rsid w:val="005E538E"/>
    <w:rsid w:val="005E5A99"/>
    <w:rsid w:val="005E614B"/>
    <w:rsid w:val="005E668D"/>
    <w:rsid w:val="005F01A7"/>
    <w:rsid w:val="005F36D6"/>
    <w:rsid w:val="005F412B"/>
    <w:rsid w:val="005F4900"/>
    <w:rsid w:val="005F5E5E"/>
    <w:rsid w:val="005F66B2"/>
    <w:rsid w:val="005F73E3"/>
    <w:rsid w:val="005F79C1"/>
    <w:rsid w:val="00605B0F"/>
    <w:rsid w:val="0061133C"/>
    <w:rsid w:val="00611413"/>
    <w:rsid w:val="006220D1"/>
    <w:rsid w:val="00626887"/>
    <w:rsid w:val="00627B8C"/>
    <w:rsid w:val="00627FEE"/>
    <w:rsid w:val="00631156"/>
    <w:rsid w:val="006339F6"/>
    <w:rsid w:val="006344CD"/>
    <w:rsid w:val="006352FC"/>
    <w:rsid w:val="00640C92"/>
    <w:rsid w:val="006419C9"/>
    <w:rsid w:val="00641F13"/>
    <w:rsid w:val="00642826"/>
    <w:rsid w:val="006440E2"/>
    <w:rsid w:val="00646925"/>
    <w:rsid w:val="006473DB"/>
    <w:rsid w:val="0064744E"/>
    <w:rsid w:val="00652941"/>
    <w:rsid w:val="00652E99"/>
    <w:rsid w:val="00652FDC"/>
    <w:rsid w:val="0066164C"/>
    <w:rsid w:val="006653CA"/>
    <w:rsid w:val="00686A79"/>
    <w:rsid w:val="00692D36"/>
    <w:rsid w:val="00692F90"/>
    <w:rsid w:val="00693632"/>
    <w:rsid w:val="00694CAB"/>
    <w:rsid w:val="006963A5"/>
    <w:rsid w:val="006968D6"/>
    <w:rsid w:val="006A4E27"/>
    <w:rsid w:val="006A6C20"/>
    <w:rsid w:val="006B1424"/>
    <w:rsid w:val="006B1B65"/>
    <w:rsid w:val="006B4585"/>
    <w:rsid w:val="006B46DB"/>
    <w:rsid w:val="006B4732"/>
    <w:rsid w:val="006B7CF6"/>
    <w:rsid w:val="006C56CA"/>
    <w:rsid w:val="006C58CF"/>
    <w:rsid w:val="006C5D5B"/>
    <w:rsid w:val="006C677F"/>
    <w:rsid w:val="006D4EB1"/>
    <w:rsid w:val="006D723B"/>
    <w:rsid w:val="006E11B5"/>
    <w:rsid w:val="006E5923"/>
    <w:rsid w:val="006F4C1E"/>
    <w:rsid w:val="006F51C9"/>
    <w:rsid w:val="006F5430"/>
    <w:rsid w:val="006F5939"/>
    <w:rsid w:val="006F700D"/>
    <w:rsid w:val="0070500D"/>
    <w:rsid w:val="0070629F"/>
    <w:rsid w:val="00711330"/>
    <w:rsid w:val="00711846"/>
    <w:rsid w:val="00712954"/>
    <w:rsid w:val="00715C40"/>
    <w:rsid w:val="00721F3B"/>
    <w:rsid w:val="0072380D"/>
    <w:rsid w:val="00725847"/>
    <w:rsid w:val="00727659"/>
    <w:rsid w:val="00732726"/>
    <w:rsid w:val="00732EEC"/>
    <w:rsid w:val="0073374A"/>
    <w:rsid w:val="007342DE"/>
    <w:rsid w:val="00734397"/>
    <w:rsid w:val="00736B9C"/>
    <w:rsid w:val="00736DA0"/>
    <w:rsid w:val="00740A1D"/>
    <w:rsid w:val="00745C3D"/>
    <w:rsid w:val="00750665"/>
    <w:rsid w:val="00751663"/>
    <w:rsid w:val="0075331B"/>
    <w:rsid w:val="007555A2"/>
    <w:rsid w:val="00755DDC"/>
    <w:rsid w:val="00756B25"/>
    <w:rsid w:val="007574CB"/>
    <w:rsid w:val="007626E3"/>
    <w:rsid w:val="00764C45"/>
    <w:rsid w:val="00767BC6"/>
    <w:rsid w:val="00772C7B"/>
    <w:rsid w:val="007739FA"/>
    <w:rsid w:val="00774E3E"/>
    <w:rsid w:val="00783CFF"/>
    <w:rsid w:val="0078442E"/>
    <w:rsid w:val="00784510"/>
    <w:rsid w:val="00797911"/>
    <w:rsid w:val="007A3F22"/>
    <w:rsid w:val="007B0EAF"/>
    <w:rsid w:val="007B1A9F"/>
    <w:rsid w:val="007B2F5D"/>
    <w:rsid w:val="007C49AF"/>
    <w:rsid w:val="007C7AE8"/>
    <w:rsid w:val="007D11BE"/>
    <w:rsid w:val="007D44CC"/>
    <w:rsid w:val="007D7A03"/>
    <w:rsid w:val="007E1655"/>
    <w:rsid w:val="007E18CC"/>
    <w:rsid w:val="007F2CCC"/>
    <w:rsid w:val="00807513"/>
    <w:rsid w:val="00807B83"/>
    <w:rsid w:val="00830BCD"/>
    <w:rsid w:val="008310ED"/>
    <w:rsid w:val="00831CEF"/>
    <w:rsid w:val="008424B9"/>
    <w:rsid w:val="00843570"/>
    <w:rsid w:val="00844681"/>
    <w:rsid w:val="0084491C"/>
    <w:rsid w:val="008456F5"/>
    <w:rsid w:val="00846BD6"/>
    <w:rsid w:val="008507D2"/>
    <w:rsid w:val="0085688D"/>
    <w:rsid w:val="00856B41"/>
    <w:rsid w:val="0086349B"/>
    <w:rsid w:val="008647C5"/>
    <w:rsid w:val="008723F8"/>
    <w:rsid w:val="00876895"/>
    <w:rsid w:val="0088264C"/>
    <w:rsid w:val="00894FE1"/>
    <w:rsid w:val="008A106D"/>
    <w:rsid w:val="008A1397"/>
    <w:rsid w:val="008A39D4"/>
    <w:rsid w:val="008A3F59"/>
    <w:rsid w:val="008A720F"/>
    <w:rsid w:val="008B1B14"/>
    <w:rsid w:val="008B28FD"/>
    <w:rsid w:val="008B3F5C"/>
    <w:rsid w:val="008B4214"/>
    <w:rsid w:val="008C429B"/>
    <w:rsid w:val="008C54DD"/>
    <w:rsid w:val="008C563A"/>
    <w:rsid w:val="008D2378"/>
    <w:rsid w:val="008D25AA"/>
    <w:rsid w:val="008D294E"/>
    <w:rsid w:val="008E6C74"/>
    <w:rsid w:val="008E721B"/>
    <w:rsid w:val="008F209C"/>
    <w:rsid w:val="008F63F7"/>
    <w:rsid w:val="008F77EC"/>
    <w:rsid w:val="0091025C"/>
    <w:rsid w:val="00913BC9"/>
    <w:rsid w:val="009154BE"/>
    <w:rsid w:val="00915B56"/>
    <w:rsid w:val="00924F59"/>
    <w:rsid w:val="00925168"/>
    <w:rsid w:val="00935495"/>
    <w:rsid w:val="009358D4"/>
    <w:rsid w:val="00935EDC"/>
    <w:rsid w:val="009428B6"/>
    <w:rsid w:val="00945674"/>
    <w:rsid w:val="00946050"/>
    <w:rsid w:val="00946973"/>
    <w:rsid w:val="00951493"/>
    <w:rsid w:val="0095781A"/>
    <w:rsid w:val="00962B8F"/>
    <w:rsid w:val="009656E2"/>
    <w:rsid w:val="00965B7E"/>
    <w:rsid w:val="00971DB4"/>
    <w:rsid w:val="009757DA"/>
    <w:rsid w:val="00975A0B"/>
    <w:rsid w:val="009776C8"/>
    <w:rsid w:val="00977B2D"/>
    <w:rsid w:val="00993BAA"/>
    <w:rsid w:val="00994F90"/>
    <w:rsid w:val="00996B51"/>
    <w:rsid w:val="00997AFB"/>
    <w:rsid w:val="009A2404"/>
    <w:rsid w:val="009A3FCF"/>
    <w:rsid w:val="009A4DA3"/>
    <w:rsid w:val="009A61EF"/>
    <w:rsid w:val="009B4241"/>
    <w:rsid w:val="009B6A3F"/>
    <w:rsid w:val="009C11AE"/>
    <w:rsid w:val="009C3B5C"/>
    <w:rsid w:val="009C5598"/>
    <w:rsid w:val="009C6235"/>
    <w:rsid w:val="009D66EF"/>
    <w:rsid w:val="009E0224"/>
    <w:rsid w:val="009E3224"/>
    <w:rsid w:val="009E34EC"/>
    <w:rsid w:val="009E4719"/>
    <w:rsid w:val="009F56CF"/>
    <w:rsid w:val="00A00291"/>
    <w:rsid w:val="00A00AD2"/>
    <w:rsid w:val="00A06AB7"/>
    <w:rsid w:val="00A11291"/>
    <w:rsid w:val="00A12567"/>
    <w:rsid w:val="00A17E65"/>
    <w:rsid w:val="00A21043"/>
    <w:rsid w:val="00A229A5"/>
    <w:rsid w:val="00A313A0"/>
    <w:rsid w:val="00A36D8B"/>
    <w:rsid w:val="00A41B74"/>
    <w:rsid w:val="00A440F6"/>
    <w:rsid w:val="00A51ABF"/>
    <w:rsid w:val="00A51B45"/>
    <w:rsid w:val="00A54532"/>
    <w:rsid w:val="00A64034"/>
    <w:rsid w:val="00A65653"/>
    <w:rsid w:val="00A66778"/>
    <w:rsid w:val="00A671EF"/>
    <w:rsid w:val="00A7193D"/>
    <w:rsid w:val="00A7382E"/>
    <w:rsid w:val="00A75E62"/>
    <w:rsid w:val="00A81928"/>
    <w:rsid w:val="00A8253C"/>
    <w:rsid w:val="00A82FEA"/>
    <w:rsid w:val="00A8327B"/>
    <w:rsid w:val="00A874A3"/>
    <w:rsid w:val="00A87E37"/>
    <w:rsid w:val="00A92276"/>
    <w:rsid w:val="00A93382"/>
    <w:rsid w:val="00AA2FF2"/>
    <w:rsid w:val="00AA7245"/>
    <w:rsid w:val="00AA7907"/>
    <w:rsid w:val="00AB0823"/>
    <w:rsid w:val="00AB1985"/>
    <w:rsid w:val="00AC0390"/>
    <w:rsid w:val="00AC20B1"/>
    <w:rsid w:val="00AC26D6"/>
    <w:rsid w:val="00AD08D5"/>
    <w:rsid w:val="00AD2024"/>
    <w:rsid w:val="00AD73F3"/>
    <w:rsid w:val="00AE08C9"/>
    <w:rsid w:val="00AF1134"/>
    <w:rsid w:val="00AF74CF"/>
    <w:rsid w:val="00B0196D"/>
    <w:rsid w:val="00B0205E"/>
    <w:rsid w:val="00B079F8"/>
    <w:rsid w:val="00B14376"/>
    <w:rsid w:val="00B202DF"/>
    <w:rsid w:val="00B22383"/>
    <w:rsid w:val="00B25500"/>
    <w:rsid w:val="00B307D4"/>
    <w:rsid w:val="00B33C96"/>
    <w:rsid w:val="00B42AE4"/>
    <w:rsid w:val="00B459AE"/>
    <w:rsid w:val="00B57F06"/>
    <w:rsid w:val="00B60628"/>
    <w:rsid w:val="00B608C5"/>
    <w:rsid w:val="00B62105"/>
    <w:rsid w:val="00B62FCF"/>
    <w:rsid w:val="00B65BDB"/>
    <w:rsid w:val="00B66887"/>
    <w:rsid w:val="00B7223F"/>
    <w:rsid w:val="00B743F2"/>
    <w:rsid w:val="00B768E0"/>
    <w:rsid w:val="00B812CE"/>
    <w:rsid w:val="00B837A4"/>
    <w:rsid w:val="00B85351"/>
    <w:rsid w:val="00B85A0E"/>
    <w:rsid w:val="00B86678"/>
    <w:rsid w:val="00B957C6"/>
    <w:rsid w:val="00B97370"/>
    <w:rsid w:val="00BA109B"/>
    <w:rsid w:val="00BA180C"/>
    <w:rsid w:val="00BA5036"/>
    <w:rsid w:val="00BA516C"/>
    <w:rsid w:val="00BA56F2"/>
    <w:rsid w:val="00BA7D89"/>
    <w:rsid w:val="00BB2672"/>
    <w:rsid w:val="00BB3BF7"/>
    <w:rsid w:val="00BB5EFB"/>
    <w:rsid w:val="00BC22E5"/>
    <w:rsid w:val="00BC49CF"/>
    <w:rsid w:val="00BC5416"/>
    <w:rsid w:val="00BD2CC6"/>
    <w:rsid w:val="00BD33FE"/>
    <w:rsid w:val="00BD579A"/>
    <w:rsid w:val="00BD6398"/>
    <w:rsid w:val="00BD7A30"/>
    <w:rsid w:val="00BD7AF7"/>
    <w:rsid w:val="00BD7C10"/>
    <w:rsid w:val="00BE3189"/>
    <w:rsid w:val="00BE5EDE"/>
    <w:rsid w:val="00BE67C0"/>
    <w:rsid w:val="00BF19E2"/>
    <w:rsid w:val="00BF3849"/>
    <w:rsid w:val="00BF7782"/>
    <w:rsid w:val="00C046AD"/>
    <w:rsid w:val="00C05D43"/>
    <w:rsid w:val="00C1072F"/>
    <w:rsid w:val="00C10D96"/>
    <w:rsid w:val="00C154E2"/>
    <w:rsid w:val="00C17ADF"/>
    <w:rsid w:val="00C17BF1"/>
    <w:rsid w:val="00C228D2"/>
    <w:rsid w:val="00C235F8"/>
    <w:rsid w:val="00C303EE"/>
    <w:rsid w:val="00C327B4"/>
    <w:rsid w:val="00C37B7B"/>
    <w:rsid w:val="00C41F7D"/>
    <w:rsid w:val="00C42E12"/>
    <w:rsid w:val="00C44C0A"/>
    <w:rsid w:val="00C45653"/>
    <w:rsid w:val="00C472D7"/>
    <w:rsid w:val="00C475FC"/>
    <w:rsid w:val="00C56A90"/>
    <w:rsid w:val="00C5703C"/>
    <w:rsid w:val="00C60248"/>
    <w:rsid w:val="00C60275"/>
    <w:rsid w:val="00C61046"/>
    <w:rsid w:val="00C61BE2"/>
    <w:rsid w:val="00C638CA"/>
    <w:rsid w:val="00C64E08"/>
    <w:rsid w:val="00C65659"/>
    <w:rsid w:val="00C74C48"/>
    <w:rsid w:val="00C77482"/>
    <w:rsid w:val="00C777D7"/>
    <w:rsid w:val="00C823F2"/>
    <w:rsid w:val="00C85E1E"/>
    <w:rsid w:val="00C865CE"/>
    <w:rsid w:val="00C90393"/>
    <w:rsid w:val="00C90B25"/>
    <w:rsid w:val="00C92B85"/>
    <w:rsid w:val="00C93222"/>
    <w:rsid w:val="00C95D60"/>
    <w:rsid w:val="00CA5D64"/>
    <w:rsid w:val="00CA5F6F"/>
    <w:rsid w:val="00CB0C63"/>
    <w:rsid w:val="00CB18F9"/>
    <w:rsid w:val="00CB4CBE"/>
    <w:rsid w:val="00CC59AC"/>
    <w:rsid w:val="00CC6427"/>
    <w:rsid w:val="00CD016E"/>
    <w:rsid w:val="00CE19F1"/>
    <w:rsid w:val="00CE219F"/>
    <w:rsid w:val="00CE726C"/>
    <w:rsid w:val="00CF11A0"/>
    <w:rsid w:val="00CF3906"/>
    <w:rsid w:val="00CF61E7"/>
    <w:rsid w:val="00CF6383"/>
    <w:rsid w:val="00D0238F"/>
    <w:rsid w:val="00D04B9D"/>
    <w:rsid w:val="00D06A3A"/>
    <w:rsid w:val="00D06C0D"/>
    <w:rsid w:val="00D1534B"/>
    <w:rsid w:val="00D15873"/>
    <w:rsid w:val="00D249E0"/>
    <w:rsid w:val="00D25494"/>
    <w:rsid w:val="00D25FCE"/>
    <w:rsid w:val="00D30067"/>
    <w:rsid w:val="00D37E56"/>
    <w:rsid w:val="00D47778"/>
    <w:rsid w:val="00D5647C"/>
    <w:rsid w:val="00D5678F"/>
    <w:rsid w:val="00D56AA8"/>
    <w:rsid w:val="00D652E2"/>
    <w:rsid w:val="00D724CE"/>
    <w:rsid w:val="00D73412"/>
    <w:rsid w:val="00D77F12"/>
    <w:rsid w:val="00D954FA"/>
    <w:rsid w:val="00D96FCE"/>
    <w:rsid w:val="00D97118"/>
    <w:rsid w:val="00DA2D71"/>
    <w:rsid w:val="00DA4D03"/>
    <w:rsid w:val="00DB298B"/>
    <w:rsid w:val="00DB3202"/>
    <w:rsid w:val="00DC0E08"/>
    <w:rsid w:val="00DD10F6"/>
    <w:rsid w:val="00DD2D75"/>
    <w:rsid w:val="00DD4D41"/>
    <w:rsid w:val="00DD741B"/>
    <w:rsid w:val="00DF3E59"/>
    <w:rsid w:val="00E0155C"/>
    <w:rsid w:val="00E02160"/>
    <w:rsid w:val="00E133A1"/>
    <w:rsid w:val="00E208A7"/>
    <w:rsid w:val="00E30981"/>
    <w:rsid w:val="00E3621E"/>
    <w:rsid w:val="00E37836"/>
    <w:rsid w:val="00E41918"/>
    <w:rsid w:val="00E421BC"/>
    <w:rsid w:val="00E443A8"/>
    <w:rsid w:val="00E5537F"/>
    <w:rsid w:val="00E66A74"/>
    <w:rsid w:val="00E709BC"/>
    <w:rsid w:val="00E71DC5"/>
    <w:rsid w:val="00E7666A"/>
    <w:rsid w:val="00E7770B"/>
    <w:rsid w:val="00E83ECD"/>
    <w:rsid w:val="00E85FC8"/>
    <w:rsid w:val="00E9280A"/>
    <w:rsid w:val="00E94A49"/>
    <w:rsid w:val="00EA2E14"/>
    <w:rsid w:val="00EA4E59"/>
    <w:rsid w:val="00EA507A"/>
    <w:rsid w:val="00EB05BE"/>
    <w:rsid w:val="00EB3A9C"/>
    <w:rsid w:val="00EB7856"/>
    <w:rsid w:val="00ED3759"/>
    <w:rsid w:val="00EE4E03"/>
    <w:rsid w:val="00EE7A0C"/>
    <w:rsid w:val="00EF1ABE"/>
    <w:rsid w:val="00EF1EA2"/>
    <w:rsid w:val="00EF6151"/>
    <w:rsid w:val="00F00F15"/>
    <w:rsid w:val="00F01133"/>
    <w:rsid w:val="00F15B82"/>
    <w:rsid w:val="00F1726C"/>
    <w:rsid w:val="00F2098D"/>
    <w:rsid w:val="00F312F1"/>
    <w:rsid w:val="00F327AA"/>
    <w:rsid w:val="00F35869"/>
    <w:rsid w:val="00F42AB4"/>
    <w:rsid w:val="00F45265"/>
    <w:rsid w:val="00F502AC"/>
    <w:rsid w:val="00F502CE"/>
    <w:rsid w:val="00F60266"/>
    <w:rsid w:val="00F674A5"/>
    <w:rsid w:val="00F71A2F"/>
    <w:rsid w:val="00F71C54"/>
    <w:rsid w:val="00F71EB3"/>
    <w:rsid w:val="00F727B8"/>
    <w:rsid w:val="00F75ACE"/>
    <w:rsid w:val="00F817E7"/>
    <w:rsid w:val="00F902BC"/>
    <w:rsid w:val="00F94E98"/>
    <w:rsid w:val="00FA39D7"/>
    <w:rsid w:val="00FA4F03"/>
    <w:rsid w:val="00FB206B"/>
    <w:rsid w:val="00FB4783"/>
    <w:rsid w:val="00FB47AD"/>
    <w:rsid w:val="00FB4BB4"/>
    <w:rsid w:val="00FB56B5"/>
    <w:rsid w:val="00FC1CB8"/>
    <w:rsid w:val="00FC2724"/>
    <w:rsid w:val="00FC3677"/>
    <w:rsid w:val="00FC5E8B"/>
    <w:rsid w:val="00FC6EC7"/>
    <w:rsid w:val="00FD03EB"/>
    <w:rsid w:val="00FD6AD6"/>
    <w:rsid w:val="00FE43A6"/>
    <w:rsid w:val="00FE4953"/>
    <w:rsid w:val="00FE5DA6"/>
    <w:rsid w:val="00FE7432"/>
    <w:rsid w:val="00FF0FE3"/>
    <w:rsid w:val="00FF2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4F574"/>
  <w15:chartTrackingRefBased/>
  <w15:docId w15:val="{7142A206-DC01-7B41-9997-D332282AF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473"/>
    <w:rPr>
      <w:rFonts w:ascii="Times New Roman" w:eastAsia="Times New Roman" w:hAnsi="Times New Roman" w:cs="Times New Roman"/>
    </w:rPr>
  </w:style>
  <w:style w:type="paragraph" w:styleId="Heading1">
    <w:name w:val="heading 1"/>
    <w:basedOn w:val="Normal"/>
    <w:link w:val="Heading1Char"/>
    <w:uiPriority w:val="9"/>
    <w:qFormat/>
    <w:rsid w:val="00A8192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3C45"/>
    <w:rPr>
      <w:color w:val="0563C1" w:themeColor="hyperlink"/>
      <w:u w:val="single"/>
    </w:rPr>
  </w:style>
  <w:style w:type="character" w:styleId="UnresolvedMention">
    <w:name w:val="Unresolved Mention"/>
    <w:basedOn w:val="DefaultParagraphFont"/>
    <w:uiPriority w:val="99"/>
    <w:semiHidden/>
    <w:unhideWhenUsed/>
    <w:rsid w:val="00003C45"/>
    <w:rPr>
      <w:color w:val="605E5C"/>
      <w:shd w:val="clear" w:color="auto" w:fill="E1DFDD"/>
    </w:rPr>
  </w:style>
  <w:style w:type="character" w:styleId="FollowedHyperlink">
    <w:name w:val="FollowedHyperlink"/>
    <w:basedOn w:val="DefaultParagraphFont"/>
    <w:uiPriority w:val="99"/>
    <w:semiHidden/>
    <w:unhideWhenUsed/>
    <w:rsid w:val="00003C45"/>
    <w:rPr>
      <w:color w:val="954F72" w:themeColor="followedHyperlink"/>
      <w:u w:val="single"/>
    </w:rPr>
  </w:style>
  <w:style w:type="character" w:customStyle="1" w:styleId="cosearchterm">
    <w:name w:val="co_searchterm"/>
    <w:basedOn w:val="DefaultParagraphFont"/>
    <w:rsid w:val="00092390"/>
  </w:style>
  <w:style w:type="paragraph" w:styleId="FootnoteText">
    <w:name w:val="footnote text"/>
    <w:basedOn w:val="Normal"/>
    <w:link w:val="FootnoteTextChar"/>
    <w:uiPriority w:val="99"/>
    <w:semiHidden/>
    <w:unhideWhenUsed/>
    <w:rsid w:val="009A4DA3"/>
    <w:rPr>
      <w:sz w:val="20"/>
      <w:szCs w:val="20"/>
    </w:rPr>
  </w:style>
  <w:style w:type="character" w:customStyle="1" w:styleId="FootnoteTextChar">
    <w:name w:val="Footnote Text Char"/>
    <w:basedOn w:val="DefaultParagraphFont"/>
    <w:link w:val="FootnoteText"/>
    <w:uiPriority w:val="99"/>
    <w:semiHidden/>
    <w:rsid w:val="009A4DA3"/>
    <w:rPr>
      <w:sz w:val="20"/>
      <w:szCs w:val="20"/>
    </w:rPr>
  </w:style>
  <w:style w:type="character" w:styleId="FootnoteReference">
    <w:name w:val="footnote reference"/>
    <w:basedOn w:val="DefaultParagraphFont"/>
    <w:uiPriority w:val="99"/>
    <w:semiHidden/>
    <w:unhideWhenUsed/>
    <w:rsid w:val="009A4DA3"/>
    <w:rPr>
      <w:vertAlign w:val="superscript"/>
    </w:rPr>
  </w:style>
  <w:style w:type="character" w:styleId="Emphasis">
    <w:name w:val="Emphasis"/>
    <w:basedOn w:val="DefaultParagraphFont"/>
    <w:uiPriority w:val="20"/>
    <w:qFormat/>
    <w:rsid w:val="009A4DA3"/>
    <w:rPr>
      <w:i/>
      <w:iCs/>
    </w:rPr>
  </w:style>
  <w:style w:type="character" w:customStyle="1" w:styleId="costarpage">
    <w:name w:val="co_starpage"/>
    <w:basedOn w:val="DefaultParagraphFont"/>
    <w:rsid w:val="009A4DA3"/>
  </w:style>
  <w:style w:type="character" w:customStyle="1" w:styleId="cosmallcaps">
    <w:name w:val="co_smallcaps"/>
    <w:basedOn w:val="DefaultParagraphFont"/>
    <w:rsid w:val="009A4DA3"/>
  </w:style>
  <w:style w:type="character" w:customStyle="1" w:styleId="copinpointicon">
    <w:name w:val="co_pinpointicon"/>
    <w:basedOn w:val="DefaultParagraphFont"/>
    <w:rsid w:val="009A4DA3"/>
  </w:style>
  <w:style w:type="paragraph" w:styleId="NormalWeb">
    <w:name w:val="Normal (Web)"/>
    <w:basedOn w:val="Normal"/>
    <w:uiPriority w:val="99"/>
    <w:unhideWhenUsed/>
    <w:rsid w:val="00393F08"/>
    <w:pPr>
      <w:spacing w:before="100" w:beforeAutospacing="1" w:after="100" w:afterAutospacing="1"/>
    </w:pPr>
  </w:style>
  <w:style w:type="character" w:customStyle="1" w:styleId="normaltextrun">
    <w:name w:val="normaltextrun"/>
    <w:basedOn w:val="DefaultParagraphFont"/>
    <w:rsid w:val="00393F08"/>
  </w:style>
  <w:style w:type="paragraph" w:customStyle="1" w:styleId="paragraph">
    <w:name w:val="paragraph"/>
    <w:basedOn w:val="Normal"/>
    <w:rsid w:val="0086349B"/>
    <w:pPr>
      <w:spacing w:before="100" w:beforeAutospacing="1" w:after="100" w:afterAutospacing="1"/>
    </w:pPr>
  </w:style>
  <w:style w:type="character" w:customStyle="1" w:styleId="eop">
    <w:name w:val="eop"/>
    <w:basedOn w:val="DefaultParagraphFont"/>
    <w:rsid w:val="0086349B"/>
  </w:style>
  <w:style w:type="paragraph" w:styleId="ListParagraph">
    <w:name w:val="List Paragraph"/>
    <w:basedOn w:val="Normal"/>
    <w:uiPriority w:val="34"/>
    <w:qFormat/>
    <w:rsid w:val="00153856"/>
    <w:pPr>
      <w:ind w:left="720"/>
      <w:contextualSpacing/>
    </w:pPr>
  </w:style>
  <w:style w:type="character" w:customStyle="1" w:styleId="contextualspellingandgrammarerror">
    <w:name w:val="contextualspellingandgrammarerror"/>
    <w:basedOn w:val="DefaultParagraphFont"/>
    <w:rsid w:val="00640C92"/>
  </w:style>
  <w:style w:type="paragraph" w:styleId="Header">
    <w:name w:val="header"/>
    <w:basedOn w:val="Normal"/>
    <w:link w:val="HeaderChar"/>
    <w:uiPriority w:val="99"/>
    <w:unhideWhenUsed/>
    <w:rsid w:val="00A54532"/>
    <w:pPr>
      <w:tabs>
        <w:tab w:val="center" w:pos="4680"/>
        <w:tab w:val="right" w:pos="9360"/>
      </w:tabs>
    </w:pPr>
  </w:style>
  <w:style w:type="character" w:customStyle="1" w:styleId="HeaderChar">
    <w:name w:val="Header Char"/>
    <w:basedOn w:val="DefaultParagraphFont"/>
    <w:link w:val="Header"/>
    <w:uiPriority w:val="99"/>
    <w:rsid w:val="00A54532"/>
    <w:rPr>
      <w:rFonts w:ascii="Times New Roman" w:eastAsia="Times New Roman" w:hAnsi="Times New Roman" w:cs="Times New Roman"/>
    </w:rPr>
  </w:style>
  <w:style w:type="paragraph" w:styleId="Footer">
    <w:name w:val="footer"/>
    <w:basedOn w:val="Normal"/>
    <w:link w:val="FooterChar"/>
    <w:uiPriority w:val="99"/>
    <w:unhideWhenUsed/>
    <w:rsid w:val="00A54532"/>
    <w:pPr>
      <w:tabs>
        <w:tab w:val="center" w:pos="4680"/>
        <w:tab w:val="right" w:pos="9360"/>
      </w:tabs>
    </w:pPr>
  </w:style>
  <w:style w:type="character" w:customStyle="1" w:styleId="FooterChar">
    <w:name w:val="Footer Char"/>
    <w:basedOn w:val="DefaultParagraphFont"/>
    <w:link w:val="Footer"/>
    <w:uiPriority w:val="99"/>
    <w:rsid w:val="00A54532"/>
    <w:rPr>
      <w:rFonts w:ascii="Times New Roman" w:eastAsia="Times New Roman" w:hAnsi="Times New Roman" w:cs="Times New Roman"/>
    </w:rPr>
  </w:style>
  <w:style w:type="character" w:styleId="PageNumber">
    <w:name w:val="page number"/>
    <w:basedOn w:val="DefaultParagraphFont"/>
    <w:uiPriority w:val="99"/>
    <w:semiHidden/>
    <w:unhideWhenUsed/>
    <w:rsid w:val="00A54532"/>
  </w:style>
  <w:style w:type="character" w:styleId="CommentReference">
    <w:name w:val="annotation reference"/>
    <w:basedOn w:val="DefaultParagraphFont"/>
    <w:uiPriority w:val="99"/>
    <w:semiHidden/>
    <w:unhideWhenUsed/>
    <w:rsid w:val="007342DE"/>
    <w:rPr>
      <w:sz w:val="16"/>
      <w:szCs w:val="16"/>
    </w:rPr>
  </w:style>
  <w:style w:type="paragraph" w:styleId="CommentText">
    <w:name w:val="annotation text"/>
    <w:basedOn w:val="Normal"/>
    <w:link w:val="CommentTextChar"/>
    <w:uiPriority w:val="99"/>
    <w:semiHidden/>
    <w:unhideWhenUsed/>
    <w:rsid w:val="007342DE"/>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342DE"/>
    <w:rPr>
      <w:sz w:val="20"/>
      <w:szCs w:val="20"/>
    </w:rPr>
  </w:style>
  <w:style w:type="paragraph" w:styleId="HTMLPreformatted">
    <w:name w:val="HTML Preformatted"/>
    <w:basedOn w:val="Normal"/>
    <w:link w:val="HTMLPreformattedChar"/>
    <w:uiPriority w:val="99"/>
    <w:unhideWhenUsed/>
    <w:rsid w:val="00734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342DE"/>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7342DE"/>
    <w:rPr>
      <w:sz w:val="18"/>
      <w:szCs w:val="18"/>
    </w:rPr>
  </w:style>
  <w:style w:type="character" w:customStyle="1" w:styleId="BalloonTextChar">
    <w:name w:val="Balloon Text Char"/>
    <w:basedOn w:val="DefaultParagraphFont"/>
    <w:link w:val="BalloonText"/>
    <w:uiPriority w:val="99"/>
    <w:semiHidden/>
    <w:rsid w:val="007342DE"/>
    <w:rPr>
      <w:rFonts w:ascii="Times New Roman" w:eastAsia="Times New Roman" w:hAnsi="Times New Roman" w:cs="Times New Roman"/>
      <w:sz w:val="18"/>
      <w:szCs w:val="18"/>
    </w:rPr>
  </w:style>
  <w:style w:type="paragraph" w:styleId="BodyText">
    <w:name w:val="Body Text"/>
    <w:basedOn w:val="Normal"/>
    <w:link w:val="BodyTextChar"/>
    <w:uiPriority w:val="1"/>
    <w:qFormat/>
    <w:rsid w:val="00652941"/>
    <w:pPr>
      <w:widowControl w:val="0"/>
      <w:autoSpaceDE w:val="0"/>
      <w:autoSpaceDN w:val="0"/>
    </w:pPr>
  </w:style>
  <w:style w:type="character" w:customStyle="1" w:styleId="BodyTextChar">
    <w:name w:val="Body Text Char"/>
    <w:basedOn w:val="DefaultParagraphFont"/>
    <w:link w:val="BodyText"/>
    <w:uiPriority w:val="1"/>
    <w:rsid w:val="00652941"/>
    <w:rPr>
      <w:rFonts w:ascii="Times New Roman" w:eastAsia="Times New Roman" w:hAnsi="Times New Roman" w:cs="Times New Roman"/>
    </w:rPr>
  </w:style>
  <w:style w:type="paragraph" w:styleId="EndnoteText">
    <w:name w:val="endnote text"/>
    <w:basedOn w:val="Normal"/>
    <w:link w:val="EndnoteTextChar"/>
    <w:uiPriority w:val="99"/>
    <w:semiHidden/>
    <w:unhideWhenUsed/>
    <w:rsid w:val="000123EF"/>
    <w:rPr>
      <w:sz w:val="20"/>
      <w:szCs w:val="20"/>
    </w:rPr>
  </w:style>
  <w:style w:type="character" w:customStyle="1" w:styleId="EndnoteTextChar">
    <w:name w:val="Endnote Text Char"/>
    <w:basedOn w:val="DefaultParagraphFont"/>
    <w:link w:val="EndnoteText"/>
    <w:uiPriority w:val="99"/>
    <w:semiHidden/>
    <w:rsid w:val="000123E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123EF"/>
    <w:rPr>
      <w:vertAlign w:val="superscript"/>
    </w:rPr>
  </w:style>
  <w:style w:type="character" w:customStyle="1" w:styleId="Heading1Char">
    <w:name w:val="Heading 1 Char"/>
    <w:basedOn w:val="DefaultParagraphFont"/>
    <w:link w:val="Heading1"/>
    <w:uiPriority w:val="9"/>
    <w:rsid w:val="00A81928"/>
    <w:rPr>
      <w:rFonts w:ascii="Times New Roman" w:eastAsia="Times New Roman" w:hAnsi="Times New Roman" w:cs="Times New Roman"/>
      <w:b/>
      <w:bCs/>
      <w:kern w:val="36"/>
      <w:sz w:val="48"/>
      <w:szCs w:val="48"/>
    </w:rPr>
  </w:style>
  <w:style w:type="paragraph" w:styleId="CommentSubject">
    <w:name w:val="annotation subject"/>
    <w:basedOn w:val="CommentText"/>
    <w:next w:val="CommentText"/>
    <w:link w:val="CommentSubjectChar"/>
    <w:uiPriority w:val="99"/>
    <w:semiHidden/>
    <w:unhideWhenUsed/>
    <w:rsid w:val="00935EDC"/>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935EDC"/>
    <w:rPr>
      <w:rFonts w:ascii="Times New Roman" w:eastAsia="Times New Roman" w:hAnsi="Times New Roman" w:cs="Times New Roman"/>
      <w:b/>
      <w:bCs/>
      <w:sz w:val="20"/>
      <w:szCs w:val="20"/>
    </w:rPr>
  </w:style>
  <w:style w:type="paragraph" w:customStyle="1" w:styleId="font8">
    <w:name w:val="font_8"/>
    <w:basedOn w:val="Normal"/>
    <w:rsid w:val="003929A9"/>
    <w:pPr>
      <w:spacing w:before="100" w:beforeAutospacing="1" w:after="100" w:afterAutospacing="1"/>
    </w:pPr>
  </w:style>
  <w:style w:type="character" w:customStyle="1" w:styleId="color11">
    <w:name w:val="color_11"/>
    <w:basedOn w:val="DefaultParagraphFont"/>
    <w:rsid w:val="003929A9"/>
  </w:style>
  <w:style w:type="character" w:customStyle="1" w:styleId="wixguard">
    <w:name w:val="wixguard"/>
    <w:basedOn w:val="DefaultParagraphFont"/>
    <w:rsid w:val="00392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19268">
      <w:bodyDiv w:val="1"/>
      <w:marLeft w:val="0"/>
      <w:marRight w:val="0"/>
      <w:marTop w:val="0"/>
      <w:marBottom w:val="0"/>
      <w:divBdr>
        <w:top w:val="none" w:sz="0" w:space="0" w:color="auto"/>
        <w:left w:val="none" w:sz="0" w:space="0" w:color="auto"/>
        <w:bottom w:val="none" w:sz="0" w:space="0" w:color="auto"/>
        <w:right w:val="none" w:sz="0" w:space="0" w:color="auto"/>
      </w:divBdr>
    </w:div>
    <w:div w:id="27923378">
      <w:bodyDiv w:val="1"/>
      <w:marLeft w:val="0"/>
      <w:marRight w:val="0"/>
      <w:marTop w:val="0"/>
      <w:marBottom w:val="0"/>
      <w:divBdr>
        <w:top w:val="none" w:sz="0" w:space="0" w:color="auto"/>
        <w:left w:val="none" w:sz="0" w:space="0" w:color="auto"/>
        <w:bottom w:val="none" w:sz="0" w:space="0" w:color="auto"/>
        <w:right w:val="none" w:sz="0" w:space="0" w:color="auto"/>
      </w:divBdr>
    </w:div>
    <w:div w:id="64769909">
      <w:bodyDiv w:val="1"/>
      <w:marLeft w:val="0"/>
      <w:marRight w:val="0"/>
      <w:marTop w:val="0"/>
      <w:marBottom w:val="0"/>
      <w:divBdr>
        <w:top w:val="none" w:sz="0" w:space="0" w:color="auto"/>
        <w:left w:val="none" w:sz="0" w:space="0" w:color="auto"/>
        <w:bottom w:val="none" w:sz="0" w:space="0" w:color="auto"/>
        <w:right w:val="none" w:sz="0" w:space="0" w:color="auto"/>
      </w:divBdr>
    </w:div>
    <w:div w:id="75640317">
      <w:bodyDiv w:val="1"/>
      <w:marLeft w:val="0"/>
      <w:marRight w:val="0"/>
      <w:marTop w:val="0"/>
      <w:marBottom w:val="0"/>
      <w:divBdr>
        <w:top w:val="none" w:sz="0" w:space="0" w:color="auto"/>
        <w:left w:val="none" w:sz="0" w:space="0" w:color="auto"/>
        <w:bottom w:val="none" w:sz="0" w:space="0" w:color="auto"/>
        <w:right w:val="none" w:sz="0" w:space="0" w:color="auto"/>
      </w:divBdr>
    </w:div>
    <w:div w:id="84694545">
      <w:bodyDiv w:val="1"/>
      <w:marLeft w:val="0"/>
      <w:marRight w:val="0"/>
      <w:marTop w:val="0"/>
      <w:marBottom w:val="0"/>
      <w:divBdr>
        <w:top w:val="none" w:sz="0" w:space="0" w:color="auto"/>
        <w:left w:val="none" w:sz="0" w:space="0" w:color="auto"/>
        <w:bottom w:val="none" w:sz="0" w:space="0" w:color="auto"/>
        <w:right w:val="none" w:sz="0" w:space="0" w:color="auto"/>
      </w:divBdr>
    </w:div>
    <w:div w:id="110982324">
      <w:bodyDiv w:val="1"/>
      <w:marLeft w:val="0"/>
      <w:marRight w:val="0"/>
      <w:marTop w:val="0"/>
      <w:marBottom w:val="0"/>
      <w:divBdr>
        <w:top w:val="none" w:sz="0" w:space="0" w:color="auto"/>
        <w:left w:val="none" w:sz="0" w:space="0" w:color="auto"/>
        <w:bottom w:val="none" w:sz="0" w:space="0" w:color="auto"/>
        <w:right w:val="none" w:sz="0" w:space="0" w:color="auto"/>
      </w:divBdr>
      <w:divsChild>
        <w:div w:id="1854224545">
          <w:blockQuote w:val="1"/>
          <w:marLeft w:val="180"/>
          <w:marRight w:val="0"/>
          <w:marTop w:val="0"/>
          <w:marBottom w:val="360"/>
          <w:divBdr>
            <w:top w:val="none" w:sz="0" w:space="0" w:color="auto"/>
            <w:left w:val="single" w:sz="18" w:space="14" w:color="F87642"/>
            <w:bottom w:val="none" w:sz="0" w:space="0" w:color="auto"/>
            <w:right w:val="none" w:sz="0" w:space="0" w:color="auto"/>
          </w:divBdr>
        </w:div>
      </w:divsChild>
    </w:div>
    <w:div w:id="120467056">
      <w:bodyDiv w:val="1"/>
      <w:marLeft w:val="0"/>
      <w:marRight w:val="0"/>
      <w:marTop w:val="0"/>
      <w:marBottom w:val="0"/>
      <w:divBdr>
        <w:top w:val="none" w:sz="0" w:space="0" w:color="auto"/>
        <w:left w:val="none" w:sz="0" w:space="0" w:color="auto"/>
        <w:bottom w:val="none" w:sz="0" w:space="0" w:color="auto"/>
        <w:right w:val="none" w:sz="0" w:space="0" w:color="auto"/>
      </w:divBdr>
    </w:div>
    <w:div w:id="127473689">
      <w:bodyDiv w:val="1"/>
      <w:marLeft w:val="0"/>
      <w:marRight w:val="0"/>
      <w:marTop w:val="0"/>
      <w:marBottom w:val="0"/>
      <w:divBdr>
        <w:top w:val="none" w:sz="0" w:space="0" w:color="auto"/>
        <w:left w:val="none" w:sz="0" w:space="0" w:color="auto"/>
        <w:bottom w:val="none" w:sz="0" w:space="0" w:color="auto"/>
        <w:right w:val="none" w:sz="0" w:space="0" w:color="auto"/>
      </w:divBdr>
    </w:div>
    <w:div w:id="185296427">
      <w:bodyDiv w:val="1"/>
      <w:marLeft w:val="0"/>
      <w:marRight w:val="0"/>
      <w:marTop w:val="0"/>
      <w:marBottom w:val="0"/>
      <w:divBdr>
        <w:top w:val="none" w:sz="0" w:space="0" w:color="auto"/>
        <w:left w:val="none" w:sz="0" w:space="0" w:color="auto"/>
        <w:bottom w:val="none" w:sz="0" w:space="0" w:color="auto"/>
        <w:right w:val="none" w:sz="0" w:space="0" w:color="auto"/>
      </w:divBdr>
    </w:div>
    <w:div w:id="209461229">
      <w:bodyDiv w:val="1"/>
      <w:marLeft w:val="0"/>
      <w:marRight w:val="0"/>
      <w:marTop w:val="0"/>
      <w:marBottom w:val="0"/>
      <w:divBdr>
        <w:top w:val="none" w:sz="0" w:space="0" w:color="auto"/>
        <w:left w:val="none" w:sz="0" w:space="0" w:color="auto"/>
        <w:bottom w:val="none" w:sz="0" w:space="0" w:color="auto"/>
        <w:right w:val="none" w:sz="0" w:space="0" w:color="auto"/>
      </w:divBdr>
    </w:div>
    <w:div w:id="219022986">
      <w:bodyDiv w:val="1"/>
      <w:marLeft w:val="0"/>
      <w:marRight w:val="0"/>
      <w:marTop w:val="0"/>
      <w:marBottom w:val="0"/>
      <w:divBdr>
        <w:top w:val="none" w:sz="0" w:space="0" w:color="auto"/>
        <w:left w:val="none" w:sz="0" w:space="0" w:color="auto"/>
        <w:bottom w:val="none" w:sz="0" w:space="0" w:color="auto"/>
        <w:right w:val="none" w:sz="0" w:space="0" w:color="auto"/>
      </w:divBdr>
    </w:div>
    <w:div w:id="238291093">
      <w:bodyDiv w:val="1"/>
      <w:marLeft w:val="0"/>
      <w:marRight w:val="0"/>
      <w:marTop w:val="0"/>
      <w:marBottom w:val="0"/>
      <w:divBdr>
        <w:top w:val="none" w:sz="0" w:space="0" w:color="auto"/>
        <w:left w:val="none" w:sz="0" w:space="0" w:color="auto"/>
        <w:bottom w:val="none" w:sz="0" w:space="0" w:color="auto"/>
        <w:right w:val="none" w:sz="0" w:space="0" w:color="auto"/>
      </w:divBdr>
    </w:div>
    <w:div w:id="249848899">
      <w:bodyDiv w:val="1"/>
      <w:marLeft w:val="0"/>
      <w:marRight w:val="0"/>
      <w:marTop w:val="0"/>
      <w:marBottom w:val="0"/>
      <w:divBdr>
        <w:top w:val="none" w:sz="0" w:space="0" w:color="auto"/>
        <w:left w:val="none" w:sz="0" w:space="0" w:color="auto"/>
        <w:bottom w:val="none" w:sz="0" w:space="0" w:color="auto"/>
        <w:right w:val="none" w:sz="0" w:space="0" w:color="auto"/>
      </w:divBdr>
    </w:div>
    <w:div w:id="264727254">
      <w:bodyDiv w:val="1"/>
      <w:marLeft w:val="0"/>
      <w:marRight w:val="0"/>
      <w:marTop w:val="0"/>
      <w:marBottom w:val="0"/>
      <w:divBdr>
        <w:top w:val="none" w:sz="0" w:space="0" w:color="auto"/>
        <w:left w:val="none" w:sz="0" w:space="0" w:color="auto"/>
        <w:bottom w:val="none" w:sz="0" w:space="0" w:color="auto"/>
        <w:right w:val="none" w:sz="0" w:space="0" w:color="auto"/>
      </w:divBdr>
    </w:div>
    <w:div w:id="270166018">
      <w:bodyDiv w:val="1"/>
      <w:marLeft w:val="0"/>
      <w:marRight w:val="0"/>
      <w:marTop w:val="0"/>
      <w:marBottom w:val="0"/>
      <w:divBdr>
        <w:top w:val="none" w:sz="0" w:space="0" w:color="auto"/>
        <w:left w:val="none" w:sz="0" w:space="0" w:color="auto"/>
        <w:bottom w:val="none" w:sz="0" w:space="0" w:color="auto"/>
        <w:right w:val="none" w:sz="0" w:space="0" w:color="auto"/>
      </w:divBdr>
    </w:div>
    <w:div w:id="284242708">
      <w:bodyDiv w:val="1"/>
      <w:marLeft w:val="0"/>
      <w:marRight w:val="0"/>
      <w:marTop w:val="0"/>
      <w:marBottom w:val="0"/>
      <w:divBdr>
        <w:top w:val="none" w:sz="0" w:space="0" w:color="auto"/>
        <w:left w:val="none" w:sz="0" w:space="0" w:color="auto"/>
        <w:bottom w:val="none" w:sz="0" w:space="0" w:color="auto"/>
        <w:right w:val="none" w:sz="0" w:space="0" w:color="auto"/>
      </w:divBdr>
    </w:div>
    <w:div w:id="286667413">
      <w:bodyDiv w:val="1"/>
      <w:marLeft w:val="0"/>
      <w:marRight w:val="0"/>
      <w:marTop w:val="0"/>
      <w:marBottom w:val="0"/>
      <w:divBdr>
        <w:top w:val="none" w:sz="0" w:space="0" w:color="auto"/>
        <w:left w:val="none" w:sz="0" w:space="0" w:color="auto"/>
        <w:bottom w:val="none" w:sz="0" w:space="0" w:color="auto"/>
        <w:right w:val="none" w:sz="0" w:space="0" w:color="auto"/>
      </w:divBdr>
    </w:div>
    <w:div w:id="314653682">
      <w:bodyDiv w:val="1"/>
      <w:marLeft w:val="0"/>
      <w:marRight w:val="0"/>
      <w:marTop w:val="0"/>
      <w:marBottom w:val="0"/>
      <w:divBdr>
        <w:top w:val="none" w:sz="0" w:space="0" w:color="auto"/>
        <w:left w:val="none" w:sz="0" w:space="0" w:color="auto"/>
        <w:bottom w:val="none" w:sz="0" w:space="0" w:color="auto"/>
        <w:right w:val="none" w:sz="0" w:space="0" w:color="auto"/>
      </w:divBdr>
      <w:divsChild>
        <w:div w:id="717247588">
          <w:marLeft w:val="0"/>
          <w:marRight w:val="0"/>
          <w:marTop w:val="0"/>
          <w:marBottom w:val="0"/>
          <w:divBdr>
            <w:top w:val="single" w:sz="6" w:space="5" w:color="D6D6D6"/>
            <w:left w:val="none" w:sz="0" w:space="9" w:color="auto"/>
            <w:bottom w:val="none" w:sz="0" w:space="9" w:color="auto"/>
            <w:right w:val="none" w:sz="0" w:space="2" w:color="auto"/>
          </w:divBdr>
          <w:divsChild>
            <w:div w:id="2116559855">
              <w:marLeft w:val="0"/>
              <w:marRight w:val="0"/>
              <w:marTop w:val="0"/>
              <w:marBottom w:val="0"/>
              <w:divBdr>
                <w:top w:val="none" w:sz="0" w:space="0" w:color="auto"/>
                <w:left w:val="none" w:sz="0" w:space="0" w:color="auto"/>
                <w:bottom w:val="none" w:sz="0" w:space="0" w:color="auto"/>
                <w:right w:val="none" w:sz="0" w:space="0" w:color="auto"/>
              </w:divBdr>
              <w:divsChild>
                <w:div w:id="177425413">
                  <w:marLeft w:val="0"/>
                  <w:marRight w:val="0"/>
                  <w:marTop w:val="0"/>
                  <w:marBottom w:val="0"/>
                  <w:divBdr>
                    <w:top w:val="none" w:sz="0" w:space="0" w:color="auto"/>
                    <w:left w:val="none" w:sz="0" w:space="0" w:color="auto"/>
                    <w:bottom w:val="none" w:sz="0" w:space="0" w:color="auto"/>
                    <w:right w:val="none" w:sz="0" w:space="0" w:color="auto"/>
                  </w:divBdr>
                  <w:divsChild>
                    <w:div w:id="2141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112709">
      <w:bodyDiv w:val="1"/>
      <w:marLeft w:val="0"/>
      <w:marRight w:val="0"/>
      <w:marTop w:val="0"/>
      <w:marBottom w:val="0"/>
      <w:divBdr>
        <w:top w:val="none" w:sz="0" w:space="0" w:color="auto"/>
        <w:left w:val="none" w:sz="0" w:space="0" w:color="auto"/>
        <w:bottom w:val="none" w:sz="0" w:space="0" w:color="auto"/>
        <w:right w:val="none" w:sz="0" w:space="0" w:color="auto"/>
      </w:divBdr>
    </w:div>
    <w:div w:id="323239726">
      <w:bodyDiv w:val="1"/>
      <w:marLeft w:val="0"/>
      <w:marRight w:val="0"/>
      <w:marTop w:val="0"/>
      <w:marBottom w:val="0"/>
      <w:divBdr>
        <w:top w:val="none" w:sz="0" w:space="0" w:color="auto"/>
        <w:left w:val="none" w:sz="0" w:space="0" w:color="auto"/>
        <w:bottom w:val="none" w:sz="0" w:space="0" w:color="auto"/>
        <w:right w:val="none" w:sz="0" w:space="0" w:color="auto"/>
      </w:divBdr>
    </w:div>
    <w:div w:id="333187845">
      <w:bodyDiv w:val="1"/>
      <w:marLeft w:val="0"/>
      <w:marRight w:val="0"/>
      <w:marTop w:val="0"/>
      <w:marBottom w:val="0"/>
      <w:divBdr>
        <w:top w:val="none" w:sz="0" w:space="0" w:color="auto"/>
        <w:left w:val="none" w:sz="0" w:space="0" w:color="auto"/>
        <w:bottom w:val="none" w:sz="0" w:space="0" w:color="auto"/>
        <w:right w:val="none" w:sz="0" w:space="0" w:color="auto"/>
      </w:divBdr>
    </w:div>
    <w:div w:id="336347485">
      <w:bodyDiv w:val="1"/>
      <w:marLeft w:val="0"/>
      <w:marRight w:val="0"/>
      <w:marTop w:val="0"/>
      <w:marBottom w:val="0"/>
      <w:divBdr>
        <w:top w:val="none" w:sz="0" w:space="0" w:color="auto"/>
        <w:left w:val="none" w:sz="0" w:space="0" w:color="auto"/>
        <w:bottom w:val="none" w:sz="0" w:space="0" w:color="auto"/>
        <w:right w:val="none" w:sz="0" w:space="0" w:color="auto"/>
      </w:divBdr>
    </w:div>
    <w:div w:id="370500316">
      <w:bodyDiv w:val="1"/>
      <w:marLeft w:val="0"/>
      <w:marRight w:val="0"/>
      <w:marTop w:val="0"/>
      <w:marBottom w:val="0"/>
      <w:divBdr>
        <w:top w:val="none" w:sz="0" w:space="0" w:color="auto"/>
        <w:left w:val="none" w:sz="0" w:space="0" w:color="auto"/>
        <w:bottom w:val="none" w:sz="0" w:space="0" w:color="auto"/>
        <w:right w:val="none" w:sz="0" w:space="0" w:color="auto"/>
      </w:divBdr>
    </w:div>
    <w:div w:id="380175539">
      <w:bodyDiv w:val="1"/>
      <w:marLeft w:val="0"/>
      <w:marRight w:val="0"/>
      <w:marTop w:val="0"/>
      <w:marBottom w:val="0"/>
      <w:divBdr>
        <w:top w:val="none" w:sz="0" w:space="0" w:color="auto"/>
        <w:left w:val="none" w:sz="0" w:space="0" w:color="auto"/>
        <w:bottom w:val="none" w:sz="0" w:space="0" w:color="auto"/>
        <w:right w:val="none" w:sz="0" w:space="0" w:color="auto"/>
      </w:divBdr>
    </w:div>
    <w:div w:id="402484587">
      <w:bodyDiv w:val="1"/>
      <w:marLeft w:val="0"/>
      <w:marRight w:val="0"/>
      <w:marTop w:val="0"/>
      <w:marBottom w:val="0"/>
      <w:divBdr>
        <w:top w:val="none" w:sz="0" w:space="0" w:color="auto"/>
        <w:left w:val="none" w:sz="0" w:space="0" w:color="auto"/>
        <w:bottom w:val="none" w:sz="0" w:space="0" w:color="auto"/>
        <w:right w:val="none" w:sz="0" w:space="0" w:color="auto"/>
      </w:divBdr>
    </w:div>
    <w:div w:id="418526904">
      <w:bodyDiv w:val="1"/>
      <w:marLeft w:val="0"/>
      <w:marRight w:val="0"/>
      <w:marTop w:val="0"/>
      <w:marBottom w:val="0"/>
      <w:divBdr>
        <w:top w:val="none" w:sz="0" w:space="0" w:color="auto"/>
        <w:left w:val="none" w:sz="0" w:space="0" w:color="auto"/>
        <w:bottom w:val="none" w:sz="0" w:space="0" w:color="auto"/>
        <w:right w:val="none" w:sz="0" w:space="0" w:color="auto"/>
      </w:divBdr>
      <w:divsChild>
        <w:div w:id="438182751">
          <w:blockQuote w:val="1"/>
          <w:marLeft w:val="180"/>
          <w:marRight w:val="0"/>
          <w:marTop w:val="0"/>
          <w:marBottom w:val="360"/>
          <w:divBdr>
            <w:top w:val="none" w:sz="0" w:space="0" w:color="auto"/>
            <w:left w:val="single" w:sz="18" w:space="14" w:color="F87642"/>
            <w:bottom w:val="none" w:sz="0" w:space="0" w:color="auto"/>
            <w:right w:val="none" w:sz="0" w:space="0" w:color="auto"/>
          </w:divBdr>
        </w:div>
      </w:divsChild>
    </w:div>
    <w:div w:id="444662599">
      <w:bodyDiv w:val="1"/>
      <w:marLeft w:val="0"/>
      <w:marRight w:val="0"/>
      <w:marTop w:val="0"/>
      <w:marBottom w:val="0"/>
      <w:divBdr>
        <w:top w:val="none" w:sz="0" w:space="0" w:color="auto"/>
        <w:left w:val="none" w:sz="0" w:space="0" w:color="auto"/>
        <w:bottom w:val="none" w:sz="0" w:space="0" w:color="auto"/>
        <w:right w:val="none" w:sz="0" w:space="0" w:color="auto"/>
      </w:divBdr>
    </w:div>
    <w:div w:id="451939704">
      <w:bodyDiv w:val="1"/>
      <w:marLeft w:val="0"/>
      <w:marRight w:val="0"/>
      <w:marTop w:val="0"/>
      <w:marBottom w:val="0"/>
      <w:divBdr>
        <w:top w:val="none" w:sz="0" w:space="0" w:color="auto"/>
        <w:left w:val="none" w:sz="0" w:space="0" w:color="auto"/>
        <w:bottom w:val="none" w:sz="0" w:space="0" w:color="auto"/>
        <w:right w:val="none" w:sz="0" w:space="0" w:color="auto"/>
      </w:divBdr>
    </w:div>
    <w:div w:id="470173244">
      <w:bodyDiv w:val="1"/>
      <w:marLeft w:val="0"/>
      <w:marRight w:val="0"/>
      <w:marTop w:val="0"/>
      <w:marBottom w:val="0"/>
      <w:divBdr>
        <w:top w:val="none" w:sz="0" w:space="0" w:color="auto"/>
        <w:left w:val="none" w:sz="0" w:space="0" w:color="auto"/>
        <w:bottom w:val="none" w:sz="0" w:space="0" w:color="auto"/>
        <w:right w:val="none" w:sz="0" w:space="0" w:color="auto"/>
      </w:divBdr>
    </w:div>
    <w:div w:id="473717686">
      <w:bodyDiv w:val="1"/>
      <w:marLeft w:val="0"/>
      <w:marRight w:val="0"/>
      <w:marTop w:val="0"/>
      <w:marBottom w:val="0"/>
      <w:divBdr>
        <w:top w:val="none" w:sz="0" w:space="0" w:color="auto"/>
        <w:left w:val="none" w:sz="0" w:space="0" w:color="auto"/>
        <w:bottom w:val="none" w:sz="0" w:space="0" w:color="auto"/>
        <w:right w:val="none" w:sz="0" w:space="0" w:color="auto"/>
      </w:divBdr>
    </w:div>
    <w:div w:id="488209999">
      <w:bodyDiv w:val="1"/>
      <w:marLeft w:val="0"/>
      <w:marRight w:val="0"/>
      <w:marTop w:val="0"/>
      <w:marBottom w:val="0"/>
      <w:divBdr>
        <w:top w:val="none" w:sz="0" w:space="0" w:color="auto"/>
        <w:left w:val="none" w:sz="0" w:space="0" w:color="auto"/>
        <w:bottom w:val="none" w:sz="0" w:space="0" w:color="auto"/>
        <w:right w:val="none" w:sz="0" w:space="0" w:color="auto"/>
      </w:divBdr>
    </w:div>
    <w:div w:id="523982811">
      <w:bodyDiv w:val="1"/>
      <w:marLeft w:val="0"/>
      <w:marRight w:val="0"/>
      <w:marTop w:val="0"/>
      <w:marBottom w:val="0"/>
      <w:divBdr>
        <w:top w:val="none" w:sz="0" w:space="0" w:color="auto"/>
        <w:left w:val="none" w:sz="0" w:space="0" w:color="auto"/>
        <w:bottom w:val="none" w:sz="0" w:space="0" w:color="auto"/>
        <w:right w:val="none" w:sz="0" w:space="0" w:color="auto"/>
      </w:divBdr>
      <w:divsChild>
        <w:div w:id="2108305467">
          <w:marLeft w:val="0"/>
          <w:marRight w:val="0"/>
          <w:marTop w:val="0"/>
          <w:marBottom w:val="0"/>
          <w:divBdr>
            <w:top w:val="none" w:sz="0" w:space="0" w:color="auto"/>
            <w:left w:val="none" w:sz="0" w:space="0" w:color="auto"/>
            <w:bottom w:val="none" w:sz="0" w:space="0" w:color="auto"/>
            <w:right w:val="none" w:sz="0" w:space="0" w:color="auto"/>
          </w:divBdr>
        </w:div>
        <w:div w:id="1573193836">
          <w:marLeft w:val="0"/>
          <w:marRight w:val="0"/>
          <w:marTop w:val="0"/>
          <w:marBottom w:val="0"/>
          <w:divBdr>
            <w:top w:val="none" w:sz="0" w:space="0" w:color="auto"/>
            <w:left w:val="none" w:sz="0" w:space="0" w:color="auto"/>
            <w:bottom w:val="none" w:sz="0" w:space="0" w:color="auto"/>
            <w:right w:val="none" w:sz="0" w:space="0" w:color="auto"/>
          </w:divBdr>
        </w:div>
      </w:divsChild>
    </w:div>
    <w:div w:id="537938544">
      <w:bodyDiv w:val="1"/>
      <w:marLeft w:val="0"/>
      <w:marRight w:val="0"/>
      <w:marTop w:val="0"/>
      <w:marBottom w:val="0"/>
      <w:divBdr>
        <w:top w:val="none" w:sz="0" w:space="0" w:color="auto"/>
        <w:left w:val="none" w:sz="0" w:space="0" w:color="auto"/>
        <w:bottom w:val="none" w:sz="0" w:space="0" w:color="auto"/>
        <w:right w:val="none" w:sz="0" w:space="0" w:color="auto"/>
      </w:divBdr>
    </w:div>
    <w:div w:id="570237057">
      <w:bodyDiv w:val="1"/>
      <w:marLeft w:val="0"/>
      <w:marRight w:val="0"/>
      <w:marTop w:val="0"/>
      <w:marBottom w:val="0"/>
      <w:divBdr>
        <w:top w:val="none" w:sz="0" w:space="0" w:color="auto"/>
        <w:left w:val="none" w:sz="0" w:space="0" w:color="auto"/>
        <w:bottom w:val="none" w:sz="0" w:space="0" w:color="auto"/>
        <w:right w:val="none" w:sz="0" w:space="0" w:color="auto"/>
      </w:divBdr>
    </w:div>
    <w:div w:id="642319093">
      <w:bodyDiv w:val="1"/>
      <w:marLeft w:val="0"/>
      <w:marRight w:val="0"/>
      <w:marTop w:val="0"/>
      <w:marBottom w:val="0"/>
      <w:divBdr>
        <w:top w:val="none" w:sz="0" w:space="0" w:color="auto"/>
        <w:left w:val="none" w:sz="0" w:space="0" w:color="auto"/>
        <w:bottom w:val="none" w:sz="0" w:space="0" w:color="auto"/>
        <w:right w:val="none" w:sz="0" w:space="0" w:color="auto"/>
      </w:divBdr>
    </w:div>
    <w:div w:id="656570552">
      <w:bodyDiv w:val="1"/>
      <w:marLeft w:val="0"/>
      <w:marRight w:val="0"/>
      <w:marTop w:val="0"/>
      <w:marBottom w:val="0"/>
      <w:divBdr>
        <w:top w:val="none" w:sz="0" w:space="0" w:color="auto"/>
        <w:left w:val="none" w:sz="0" w:space="0" w:color="auto"/>
        <w:bottom w:val="none" w:sz="0" w:space="0" w:color="auto"/>
        <w:right w:val="none" w:sz="0" w:space="0" w:color="auto"/>
      </w:divBdr>
    </w:div>
    <w:div w:id="660431132">
      <w:bodyDiv w:val="1"/>
      <w:marLeft w:val="0"/>
      <w:marRight w:val="0"/>
      <w:marTop w:val="0"/>
      <w:marBottom w:val="0"/>
      <w:divBdr>
        <w:top w:val="none" w:sz="0" w:space="0" w:color="auto"/>
        <w:left w:val="none" w:sz="0" w:space="0" w:color="auto"/>
        <w:bottom w:val="none" w:sz="0" w:space="0" w:color="auto"/>
        <w:right w:val="none" w:sz="0" w:space="0" w:color="auto"/>
      </w:divBdr>
    </w:div>
    <w:div w:id="664014577">
      <w:bodyDiv w:val="1"/>
      <w:marLeft w:val="0"/>
      <w:marRight w:val="0"/>
      <w:marTop w:val="0"/>
      <w:marBottom w:val="0"/>
      <w:divBdr>
        <w:top w:val="none" w:sz="0" w:space="0" w:color="auto"/>
        <w:left w:val="none" w:sz="0" w:space="0" w:color="auto"/>
        <w:bottom w:val="none" w:sz="0" w:space="0" w:color="auto"/>
        <w:right w:val="none" w:sz="0" w:space="0" w:color="auto"/>
      </w:divBdr>
      <w:divsChild>
        <w:div w:id="42606686">
          <w:marLeft w:val="0"/>
          <w:marRight w:val="0"/>
          <w:marTop w:val="0"/>
          <w:marBottom w:val="0"/>
          <w:divBdr>
            <w:top w:val="none" w:sz="0" w:space="0" w:color="auto"/>
            <w:left w:val="none" w:sz="0" w:space="0" w:color="auto"/>
            <w:bottom w:val="none" w:sz="0" w:space="0" w:color="auto"/>
            <w:right w:val="none" w:sz="0" w:space="0" w:color="auto"/>
          </w:divBdr>
        </w:div>
        <w:div w:id="955603874">
          <w:marLeft w:val="0"/>
          <w:marRight w:val="0"/>
          <w:marTop w:val="0"/>
          <w:marBottom w:val="0"/>
          <w:divBdr>
            <w:top w:val="none" w:sz="0" w:space="0" w:color="auto"/>
            <w:left w:val="none" w:sz="0" w:space="0" w:color="auto"/>
            <w:bottom w:val="none" w:sz="0" w:space="0" w:color="auto"/>
            <w:right w:val="none" w:sz="0" w:space="0" w:color="auto"/>
          </w:divBdr>
        </w:div>
        <w:div w:id="1974014861">
          <w:marLeft w:val="0"/>
          <w:marRight w:val="0"/>
          <w:marTop w:val="0"/>
          <w:marBottom w:val="0"/>
          <w:divBdr>
            <w:top w:val="none" w:sz="0" w:space="0" w:color="auto"/>
            <w:left w:val="none" w:sz="0" w:space="0" w:color="auto"/>
            <w:bottom w:val="none" w:sz="0" w:space="0" w:color="auto"/>
            <w:right w:val="none" w:sz="0" w:space="0" w:color="auto"/>
          </w:divBdr>
        </w:div>
        <w:div w:id="415589764">
          <w:marLeft w:val="0"/>
          <w:marRight w:val="0"/>
          <w:marTop w:val="0"/>
          <w:marBottom w:val="0"/>
          <w:divBdr>
            <w:top w:val="none" w:sz="0" w:space="0" w:color="auto"/>
            <w:left w:val="none" w:sz="0" w:space="0" w:color="auto"/>
            <w:bottom w:val="none" w:sz="0" w:space="0" w:color="auto"/>
            <w:right w:val="none" w:sz="0" w:space="0" w:color="auto"/>
          </w:divBdr>
        </w:div>
        <w:div w:id="807867031">
          <w:marLeft w:val="0"/>
          <w:marRight w:val="0"/>
          <w:marTop w:val="0"/>
          <w:marBottom w:val="0"/>
          <w:divBdr>
            <w:top w:val="none" w:sz="0" w:space="0" w:color="auto"/>
            <w:left w:val="none" w:sz="0" w:space="0" w:color="auto"/>
            <w:bottom w:val="none" w:sz="0" w:space="0" w:color="auto"/>
            <w:right w:val="none" w:sz="0" w:space="0" w:color="auto"/>
          </w:divBdr>
        </w:div>
      </w:divsChild>
    </w:div>
    <w:div w:id="738788705">
      <w:bodyDiv w:val="1"/>
      <w:marLeft w:val="0"/>
      <w:marRight w:val="0"/>
      <w:marTop w:val="0"/>
      <w:marBottom w:val="0"/>
      <w:divBdr>
        <w:top w:val="none" w:sz="0" w:space="0" w:color="auto"/>
        <w:left w:val="none" w:sz="0" w:space="0" w:color="auto"/>
        <w:bottom w:val="none" w:sz="0" w:space="0" w:color="auto"/>
        <w:right w:val="none" w:sz="0" w:space="0" w:color="auto"/>
      </w:divBdr>
    </w:div>
    <w:div w:id="782921819">
      <w:bodyDiv w:val="1"/>
      <w:marLeft w:val="0"/>
      <w:marRight w:val="0"/>
      <w:marTop w:val="0"/>
      <w:marBottom w:val="0"/>
      <w:divBdr>
        <w:top w:val="none" w:sz="0" w:space="0" w:color="auto"/>
        <w:left w:val="none" w:sz="0" w:space="0" w:color="auto"/>
        <w:bottom w:val="none" w:sz="0" w:space="0" w:color="auto"/>
        <w:right w:val="none" w:sz="0" w:space="0" w:color="auto"/>
      </w:divBdr>
    </w:div>
    <w:div w:id="789275462">
      <w:bodyDiv w:val="1"/>
      <w:marLeft w:val="0"/>
      <w:marRight w:val="0"/>
      <w:marTop w:val="0"/>
      <w:marBottom w:val="0"/>
      <w:divBdr>
        <w:top w:val="none" w:sz="0" w:space="0" w:color="auto"/>
        <w:left w:val="none" w:sz="0" w:space="0" w:color="auto"/>
        <w:bottom w:val="none" w:sz="0" w:space="0" w:color="auto"/>
        <w:right w:val="none" w:sz="0" w:space="0" w:color="auto"/>
      </w:divBdr>
    </w:div>
    <w:div w:id="789664767">
      <w:bodyDiv w:val="1"/>
      <w:marLeft w:val="0"/>
      <w:marRight w:val="0"/>
      <w:marTop w:val="0"/>
      <w:marBottom w:val="0"/>
      <w:divBdr>
        <w:top w:val="none" w:sz="0" w:space="0" w:color="auto"/>
        <w:left w:val="none" w:sz="0" w:space="0" w:color="auto"/>
        <w:bottom w:val="none" w:sz="0" w:space="0" w:color="auto"/>
        <w:right w:val="none" w:sz="0" w:space="0" w:color="auto"/>
      </w:divBdr>
    </w:div>
    <w:div w:id="794641941">
      <w:bodyDiv w:val="1"/>
      <w:marLeft w:val="0"/>
      <w:marRight w:val="0"/>
      <w:marTop w:val="0"/>
      <w:marBottom w:val="0"/>
      <w:divBdr>
        <w:top w:val="none" w:sz="0" w:space="0" w:color="auto"/>
        <w:left w:val="none" w:sz="0" w:space="0" w:color="auto"/>
        <w:bottom w:val="none" w:sz="0" w:space="0" w:color="auto"/>
        <w:right w:val="none" w:sz="0" w:space="0" w:color="auto"/>
      </w:divBdr>
    </w:div>
    <w:div w:id="871725539">
      <w:bodyDiv w:val="1"/>
      <w:marLeft w:val="0"/>
      <w:marRight w:val="0"/>
      <w:marTop w:val="0"/>
      <w:marBottom w:val="0"/>
      <w:divBdr>
        <w:top w:val="none" w:sz="0" w:space="0" w:color="auto"/>
        <w:left w:val="none" w:sz="0" w:space="0" w:color="auto"/>
        <w:bottom w:val="none" w:sz="0" w:space="0" w:color="auto"/>
        <w:right w:val="none" w:sz="0" w:space="0" w:color="auto"/>
      </w:divBdr>
    </w:div>
    <w:div w:id="885334290">
      <w:bodyDiv w:val="1"/>
      <w:marLeft w:val="0"/>
      <w:marRight w:val="0"/>
      <w:marTop w:val="0"/>
      <w:marBottom w:val="0"/>
      <w:divBdr>
        <w:top w:val="none" w:sz="0" w:space="0" w:color="auto"/>
        <w:left w:val="none" w:sz="0" w:space="0" w:color="auto"/>
        <w:bottom w:val="none" w:sz="0" w:space="0" w:color="auto"/>
        <w:right w:val="none" w:sz="0" w:space="0" w:color="auto"/>
      </w:divBdr>
    </w:div>
    <w:div w:id="903103278">
      <w:bodyDiv w:val="1"/>
      <w:marLeft w:val="0"/>
      <w:marRight w:val="0"/>
      <w:marTop w:val="0"/>
      <w:marBottom w:val="0"/>
      <w:divBdr>
        <w:top w:val="none" w:sz="0" w:space="0" w:color="auto"/>
        <w:left w:val="none" w:sz="0" w:space="0" w:color="auto"/>
        <w:bottom w:val="none" w:sz="0" w:space="0" w:color="auto"/>
        <w:right w:val="none" w:sz="0" w:space="0" w:color="auto"/>
      </w:divBdr>
      <w:divsChild>
        <w:div w:id="1841890839">
          <w:marLeft w:val="0"/>
          <w:marRight w:val="0"/>
          <w:marTop w:val="0"/>
          <w:marBottom w:val="0"/>
          <w:divBdr>
            <w:top w:val="single" w:sz="6" w:space="5" w:color="D6D6D6"/>
            <w:left w:val="none" w:sz="0" w:space="9" w:color="auto"/>
            <w:bottom w:val="none" w:sz="0" w:space="9" w:color="auto"/>
            <w:right w:val="none" w:sz="0" w:space="2" w:color="auto"/>
          </w:divBdr>
          <w:divsChild>
            <w:div w:id="397284016">
              <w:marLeft w:val="0"/>
              <w:marRight w:val="0"/>
              <w:marTop w:val="0"/>
              <w:marBottom w:val="0"/>
              <w:divBdr>
                <w:top w:val="none" w:sz="0" w:space="0" w:color="auto"/>
                <w:left w:val="none" w:sz="0" w:space="0" w:color="auto"/>
                <w:bottom w:val="none" w:sz="0" w:space="0" w:color="auto"/>
                <w:right w:val="none" w:sz="0" w:space="0" w:color="auto"/>
              </w:divBdr>
              <w:divsChild>
                <w:div w:id="574516496">
                  <w:marLeft w:val="0"/>
                  <w:marRight w:val="0"/>
                  <w:marTop w:val="0"/>
                  <w:marBottom w:val="0"/>
                  <w:divBdr>
                    <w:top w:val="none" w:sz="0" w:space="0" w:color="auto"/>
                    <w:left w:val="none" w:sz="0" w:space="0" w:color="auto"/>
                    <w:bottom w:val="none" w:sz="0" w:space="0" w:color="auto"/>
                    <w:right w:val="none" w:sz="0" w:space="0" w:color="auto"/>
                  </w:divBdr>
                  <w:divsChild>
                    <w:div w:id="128615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244213">
      <w:bodyDiv w:val="1"/>
      <w:marLeft w:val="0"/>
      <w:marRight w:val="0"/>
      <w:marTop w:val="0"/>
      <w:marBottom w:val="0"/>
      <w:divBdr>
        <w:top w:val="none" w:sz="0" w:space="0" w:color="auto"/>
        <w:left w:val="none" w:sz="0" w:space="0" w:color="auto"/>
        <w:bottom w:val="none" w:sz="0" w:space="0" w:color="auto"/>
        <w:right w:val="none" w:sz="0" w:space="0" w:color="auto"/>
      </w:divBdr>
      <w:divsChild>
        <w:div w:id="2087065373">
          <w:marLeft w:val="0"/>
          <w:marRight w:val="0"/>
          <w:marTop w:val="0"/>
          <w:marBottom w:val="0"/>
          <w:divBdr>
            <w:top w:val="single" w:sz="6" w:space="5" w:color="D6D6D6"/>
            <w:left w:val="none" w:sz="0" w:space="9" w:color="auto"/>
            <w:bottom w:val="none" w:sz="0" w:space="9" w:color="auto"/>
            <w:right w:val="none" w:sz="0" w:space="2" w:color="auto"/>
          </w:divBdr>
          <w:divsChild>
            <w:div w:id="402066409">
              <w:marLeft w:val="0"/>
              <w:marRight w:val="0"/>
              <w:marTop w:val="0"/>
              <w:marBottom w:val="0"/>
              <w:divBdr>
                <w:top w:val="none" w:sz="0" w:space="0" w:color="auto"/>
                <w:left w:val="none" w:sz="0" w:space="0" w:color="auto"/>
                <w:bottom w:val="none" w:sz="0" w:space="0" w:color="auto"/>
                <w:right w:val="none" w:sz="0" w:space="0" w:color="auto"/>
              </w:divBdr>
              <w:divsChild>
                <w:div w:id="990257301">
                  <w:marLeft w:val="0"/>
                  <w:marRight w:val="0"/>
                  <w:marTop w:val="0"/>
                  <w:marBottom w:val="0"/>
                  <w:divBdr>
                    <w:top w:val="none" w:sz="0" w:space="0" w:color="auto"/>
                    <w:left w:val="none" w:sz="0" w:space="0" w:color="auto"/>
                    <w:bottom w:val="none" w:sz="0" w:space="0" w:color="auto"/>
                    <w:right w:val="none" w:sz="0" w:space="0" w:color="auto"/>
                  </w:divBdr>
                  <w:divsChild>
                    <w:div w:id="98913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691586">
      <w:bodyDiv w:val="1"/>
      <w:marLeft w:val="0"/>
      <w:marRight w:val="0"/>
      <w:marTop w:val="0"/>
      <w:marBottom w:val="0"/>
      <w:divBdr>
        <w:top w:val="none" w:sz="0" w:space="0" w:color="auto"/>
        <w:left w:val="none" w:sz="0" w:space="0" w:color="auto"/>
        <w:bottom w:val="none" w:sz="0" w:space="0" w:color="auto"/>
        <w:right w:val="none" w:sz="0" w:space="0" w:color="auto"/>
      </w:divBdr>
    </w:div>
    <w:div w:id="986205232">
      <w:bodyDiv w:val="1"/>
      <w:marLeft w:val="0"/>
      <w:marRight w:val="0"/>
      <w:marTop w:val="0"/>
      <w:marBottom w:val="0"/>
      <w:divBdr>
        <w:top w:val="none" w:sz="0" w:space="0" w:color="auto"/>
        <w:left w:val="none" w:sz="0" w:space="0" w:color="auto"/>
        <w:bottom w:val="none" w:sz="0" w:space="0" w:color="auto"/>
        <w:right w:val="none" w:sz="0" w:space="0" w:color="auto"/>
      </w:divBdr>
    </w:div>
    <w:div w:id="1025211356">
      <w:bodyDiv w:val="1"/>
      <w:marLeft w:val="0"/>
      <w:marRight w:val="0"/>
      <w:marTop w:val="0"/>
      <w:marBottom w:val="0"/>
      <w:divBdr>
        <w:top w:val="none" w:sz="0" w:space="0" w:color="auto"/>
        <w:left w:val="none" w:sz="0" w:space="0" w:color="auto"/>
        <w:bottom w:val="none" w:sz="0" w:space="0" w:color="auto"/>
        <w:right w:val="none" w:sz="0" w:space="0" w:color="auto"/>
      </w:divBdr>
      <w:divsChild>
        <w:div w:id="1357926408">
          <w:marLeft w:val="446"/>
          <w:marRight w:val="0"/>
          <w:marTop w:val="0"/>
          <w:marBottom w:val="0"/>
          <w:divBdr>
            <w:top w:val="none" w:sz="0" w:space="0" w:color="auto"/>
            <w:left w:val="none" w:sz="0" w:space="0" w:color="auto"/>
            <w:bottom w:val="none" w:sz="0" w:space="0" w:color="auto"/>
            <w:right w:val="none" w:sz="0" w:space="0" w:color="auto"/>
          </w:divBdr>
        </w:div>
        <w:div w:id="1447116925">
          <w:marLeft w:val="1166"/>
          <w:marRight w:val="0"/>
          <w:marTop w:val="0"/>
          <w:marBottom w:val="0"/>
          <w:divBdr>
            <w:top w:val="none" w:sz="0" w:space="0" w:color="auto"/>
            <w:left w:val="none" w:sz="0" w:space="0" w:color="auto"/>
            <w:bottom w:val="none" w:sz="0" w:space="0" w:color="auto"/>
            <w:right w:val="none" w:sz="0" w:space="0" w:color="auto"/>
          </w:divBdr>
        </w:div>
        <w:div w:id="410857654">
          <w:marLeft w:val="1166"/>
          <w:marRight w:val="0"/>
          <w:marTop w:val="0"/>
          <w:marBottom w:val="0"/>
          <w:divBdr>
            <w:top w:val="none" w:sz="0" w:space="0" w:color="auto"/>
            <w:left w:val="none" w:sz="0" w:space="0" w:color="auto"/>
            <w:bottom w:val="none" w:sz="0" w:space="0" w:color="auto"/>
            <w:right w:val="none" w:sz="0" w:space="0" w:color="auto"/>
          </w:divBdr>
        </w:div>
        <w:div w:id="931624903">
          <w:marLeft w:val="1166"/>
          <w:marRight w:val="0"/>
          <w:marTop w:val="0"/>
          <w:marBottom w:val="0"/>
          <w:divBdr>
            <w:top w:val="none" w:sz="0" w:space="0" w:color="auto"/>
            <w:left w:val="none" w:sz="0" w:space="0" w:color="auto"/>
            <w:bottom w:val="none" w:sz="0" w:space="0" w:color="auto"/>
            <w:right w:val="none" w:sz="0" w:space="0" w:color="auto"/>
          </w:divBdr>
        </w:div>
      </w:divsChild>
    </w:div>
    <w:div w:id="1025257099">
      <w:bodyDiv w:val="1"/>
      <w:marLeft w:val="0"/>
      <w:marRight w:val="0"/>
      <w:marTop w:val="0"/>
      <w:marBottom w:val="0"/>
      <w:divBdr>
        <w:top w:val="none" w:sz="0" w:space="0" w:color="auto"/>
        <w:left w:val="none" w:sz="0" w:space="0" w:color="auto"/>
        <w:bottom w:val="none" w:sz="0" w:space="0" w:color="auto"/>
        <w:right w:val="none" w:sz="0" w:space="0" w:color="auto"/>
      </w:divBdr>
    </w:div>
    <w:div w:id="1045299483">
      <w:bodyDiv w:val="1"/>
      <w:marLeft w:val="0"/>
      <w:marRight w:val="0"/>
      <w:marTop w:val="0"/>
      <w:marBottom w:val="0"/>
      <w:divBdr>
        <w:top w:val="none" w:sz="0" w:space="0" w:color="auto"/>
        <w:left w:val="none" w:sz="0" w:space="0" w:color="auto"/>
        <w:bottom w:val="none" w:sz="0" w:space="0" w:color="auto"/>
        <w:right w:val="none" w:sz="0" w:space="0" w:color="auto"/>
      </w:divBdr>
    </w:div>
    <w:div w:id="1060202867">
      <w:bodyDiv w:val="1"/>
      <w:marLeft w:val="0"/>
      <w:marRight w:val="0"/>
      <w:marTop w:val="0"/>
      <w:marBottom w:val="0"/>
      <w:divBdr>
        <w:top w:val="none" w:sz="0" w:space="0" w:color="auto"/>
        <w:left w:val="none" w:sz="0" w:space="0" w:color="auto"/>
        <w:bottom w:val="none" w:sz="0" w:space="0" w:color="auto"/>
        <w:right w:val="none" w:sz="0" w:space="0" w:color="auto"/>
      </w:divBdr>
    </w:div>
    <w:div w:id="1062875182">
      <w:bodyDiv w:val="1"/>
      <w:marLeft w:val="0"/>
      <w:marRight w:val="0"/>
      <w:marTop w:val="0"/>
      <w:marBottom w:val="0"/>
      <w:divBdr>
        <w:top w:val="none" w:sz="0" w:space="0" w:color="auto"/>
        <w:left w:val="none" w:sz="0" w:space="0" w:color="auto"/>
        <w:bottom w:val="none" w:sz="0" w:space="0" w:color="auto"/>
        <w:right w:val="none" w:sz="0" w:space="0" w:color="auto"/>
      </w:divBdr>
      <w:divsChild>
        <w:div w:id="584455094">
          <w:marLeft w:val="0"/>
          <w:marRight w:val="0"/>
          <w:marTop w:val="0"/>
          <w:marBottom w:val="0"/>
          <w:divBdr>
            <w:top w:val="single" w:sz="6" w:space="5" w:color="D6D6D6"/>
            <w:left w:val="none" w:sz="0" w:space="9" w:color="auto"/>
            <w:bottom w:val="none" w:sz="0" w:space="9" w:color="auto"/>
            <w:right w:val="none" w:sz="0" w:space="2" w:color="auto"/>
          </w:divBdr>
          <w:divsChild>
            <w:div w:id="84423484">
              <w:marLeft w:val="0"/>
              <w:marRight w:val="0"/>
              <w:marTop w:val="0"/>
              <w:marBottom w:val="0"/>
              <w:divBdr>
                <w:top w:val="none" w:sz="0" w:space="0" w:color="auto"/>
                <w:left w:val="none" w:sz="0" w:space="0" w:color="auto"/>
                <w:bottom w:val="none" w:sz="0" w:space="0" w:color="auto"/>
                <w:right w:val="none" w:sz="0" w:space="0" w:color="auto"/>
              </w:divBdr>
              <w:divsChild>
                <w:div w:id="158891033">
                  <w:marLeft w:val="0"/>
                  <w:marRight w:val="0"/>
                  <w:marTop w:val="0"/>
                  <w:marBottom w:val="0"/>
                  <w:divBdr>
                    <w:top w:val="none" w:sz="0" w:space="0" w:color="auto"/>
                    <w:left w:val="none" w:sz="0" w:space="0" w:color="auto"/>
                    <w:bottom w:val="none" w:sz="0" w:space="0" w:color="auto"/>
                    <w:right w:val="none" w:sz="0" w:space="0" w:color="auto"/>
                  </w:divBdr>
                  <w:divsChild>
                    <w:div w:id="78735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604467">
      <w:bodyDiv w:val="1"/>
      <w:marLeft w:val="0"/>
      <w:marRight w:val="0"/>
      <w:marTop w:val="0"/>
      <w:marBottom w:val="0"/>
      <w:divBdr>
        <w:top w:val="none" w:sz="0" w:space="0" w:color="auto"/>
        <w:left w:val="none" w:sz="0" w:space="0" w:color="auto"/>
        <w:bottom w:val="none" w:sz="0" w:space="0" w:color="auto"/>
        <w:right w:val="none" w:sz="0" w:space="0" w:color="auto"/>
      </w:divBdr>
    </w:div>
    <w:div w:id="1109278942">
      <w:bodyDiv w:val="1"/>
      <w:marLeft w:val="0"/>
      <w:marRight w:val="0"/>
      <w:marTop w:val="0"/>
      <w:marBottom w:val="0"/>
      <w:divBdr>
        <w:top w:val="none" w:sz="0" w:space="0" w:color="auto"/>
        <w:left w:val="none" w:sz="0" w:space="0" w:color="auto"/>
        <w:bottom w:val="none" w:sz="0" w:space="0" w:color="auto"/>
        <w:right w:val="none" w:sz="0" w:space="0" w:color="auto"/>
      </w:divBdr>
    </w:div>
    <w:div w:id="1113280154">
      <w:bodyDiv w:val="1"/>
      <w:marLeft w:val="0"/>
      <w:marRight w:val="0"/>
      <w:marTop w:val="0"/>
      <w:marBottom w:val="0"/>
      <w:divBdr>
        <w:top w:val="none" w:sz="0" w:space="0" w:color="auto"/>
        <w:left w:val="none" w:sz="0" w:space="0" w:color="auto"/>
        <w:bottom w:val="none" w:sz="0" w:space="0" w:color="auto"/>
        <w:right w:val="none" w:sz="0" w:space="0" w:color="auto"/>
      </w:divBdr>
    </w:div>
    <w:div w:id="1121262619">
      <w:bodyDiv w:val="1"/>
      <w:marLeft w:val="0"/>
      <w:marRight w:val="0"/>
      <w:marTop w:val="0"/>
      <w:marBottom w:val="0"/>
      <w:divBdr>
        <w:top w:val="none" w:sz="0" w:space="0" w:color="auto"/>
        <w:left w:val="none" w:sz="0" w:space="0" w:color="auto"/>
        <w:bottom w:val="none" w:sz="0" w:space="0" w:color="auto"/>
        <w:right w:val="none" w:sz="0" w:space="0" w:color="auto"/>
      </w:divBdr>
    </w:div>
    <w:div w:id="1158225530">
      <w:bodyDiv w:val="1"/>
      <w:marLeft w:val="0"/>
      <w:marRight w:val="0"/>
      <w:marTop w:val="0"/>
      <w:marBottom w:val="0"/>
      <w:divBdr>
        <w:top w:val="none" w:sz="0" w:space="0" w:color="auto"/>
        <w:left w:val="none" w:sz="0" w:space="0" w:color="auto"/>
        <w:bottom w:val="none" w:sz="0" w:space="0" w:color="auto"/>
        <w:right w:val="none" w:sz="0" w:space="0" w:color="auto"/>
      </w:divBdr>
    </w:div>
    <w:div w:id="1161971980">
      <w:bodyDiv w:val="1"/>
      <w:marLeft w:val="0"/>
      <w:marRight w:val="0"/>
      <w:marTop w:val="0"/>
      <w:marBottom w:val="0"/>
      <w:divBdr>
        <w:top w:val="none" w:sz="0" w:space="0" w:color="auto"/>
        <w:left w:val="none" w:sz="0" w:space="0" w:color="auto"/>
        <w:bottom w:val="none" w:sz="0" w:space="0" w:color="auto"/>
        <w:right w:val="none" w:sz="0" w:space="0" w:color="auto"/>
      </w:divBdr>
    </w:div>
    <w:div w:id="1175538052">
      <w:bodyDiv w:val="1"/>
      <w:marLeft w:val="0"/>
      <w:marRight w:val="0"/>
      <w:marTop w:val="0"/>
      <w:marBottom w:val="0"/>
      <w:divBdr>
        <w:top w:val="none" w:sz="0" w:space="0" w:color="auto"/>
        <w:left w:val="none" w:sz="0" w:space="0" w:color="auto"/>
        <w:bottom w:val="none" w:sz="0" w:space="0" w:color="auto"/>
        <w:right w:val="none" w:sz="0" w:space="0" w:color="auto"/>
      </w:divBdr>
    </w:div>
    <w:div w:id="1201362160">
      <w:bodyDiv w:val="1"/>
      <w:marLeft w:val="0"/>
      <w:marRight w:val="0"/>
      <w:marTop w:val="0"/>
      <w:marBottom w:val="0"/>
      <w:divBdr>
        <w:top w:val="none" w:sz="0" w:space="0" w:color="auto"/>
        <w:left w:val="none" w:sz="0" w:space="0" w:color="auto"/>
        <w:bottom w:val="none" w:sz="0" w:space="0" w:color="auto"/>
        <w:right w:val="none" w:sz="0" w:space="0" w:color="auto"/>
      </w:divBdr>
    </w:div>
    <w:div w:id="1232931622">
      <w:bodyDiv w:val="1"/>
      <w:marLeft w:val="0"/>
      <w:marRight w:val="0"/>
      <w:marTop w:val="0"/>
      <w:marBottom w:val="0"/>
      <w:divBdr>
        <w:top w:val="none" w:sz="0" w:space="0" w:color="auto"/>
        <w:left w:val="none" w:sz="0" w:space="0" w:color="auto"/>
        <w:bottom w:val="none" w:sz="0" w:space="0" w:color="auto"/>
        <w:right w:val="none" w:sz="0" w:space="0" w:color="auto"/>
      </w:divBdr>
    </w:div>
    <w:div w:id="1254241472">
      <w:bodyDiv w:val="1"/>
      <w:marLeft w:val="0"/>
      <w:marRight w:val="0"/>
      <w:marTop w:val="0"/>
      <w:marBottom w:val="0"/>
      <w:divBdr>
        <w:top w:val="none" w:sz="0" w:space="0" w:color="auto"/>
        <w:left w:val="none" w:sz="0" w:space="0" w:color="auto"/>
        <w:bottom w:val="none" w:sz="0" w:space="0" w:color="auto"/>
        <w:right w:val="none" w:sz="0" w:space="0" w:color="auto"/>
      </w:divBdr>
    </w:div>
    <w:div w:id="1340619756">
      <w:bodyDiv w:val="1"/>
      <w:marLeft w:val="0"/>
      <w:marRight w:val="0"/>
      <w:marTop w:val="0"/>
      <w:marBottom w:val="0"/>
      <w:divBdr>
        <w:top w:val="none" w:sz="0" w:space="0" w:color="auto"/>
        <w:left w:val="none" w:sz="0" w:space="0" w:color="auto"/>
        <w:bottom w:val="none" w:sz="0" w:space="0" w:color="auto"/>
        <w:right w:val="none" w:sz="0" w:space="0" w:color="auto"/>
      </w:divBdr>
    </w:div>
    <w:div w:id="1364281316">
      <w:bodyDiv w:val="1"/>
      <w:marLeft w:val="0"/>
      <w:marRight w:val="0"/>
      <w:marTop w:val="0"/>
      <w:marBottom w:val="0"/>
      <w:divBdr>
        <w:top w:val="none" w:sz="0" w:space="0" w:color="auto"/>
        <w:left w:val="none" w:sz="0" w:space="0" w:color="auto"/>
        <w:bottom w:val="none" w:sz="0" w:space="0" w:color="auto"/>
        <w:right w:val="none" w:sz="0" w:space="0" w:color="auto"/>
      </w:divBdr>
    </w:div>
    <w:div w:id="1369720981">
      <w:bodyDiv w:val="1"/>
      <w:marLeft w:val="0"/>
      <w:marRight w:val="0"/>
      <w:marTop w:val="0"/>
      <w:marBottom w:val="0"/>
      <w:divBdr>
        <w:top w:val="none" w:sz="0" w:space="0" w:color="auto"/>
        <w:left w:val="none" w:sz="0" w:space="0" w:color="auto"/>
        <w:bottom w:val="none" w:sz="0" w:space="0" w:color="auto"/>
        <w:right w:val="none" w:sz="0" w:space="0" w:color="auto"/>
      </w:divBdr>
    </w:div>
    <w:div w:id="1370302791">
      <w:bodyDiv w:val="1"/>
      <w:marLeft w:val="0"/>
      <w:marRight w:val="0"/>
      <w:marTop w:val="0"/>
      <w:marBottom w:val="0"/>
      <w:divBdr>
        <w:top w:val="none" w:sz="0" w:space="0" w:color="auto"/>
        <w:left w:val="none" w:sz="0" w:space="0" w:color="auto"/>
        <w:bottom w:val="none" w:sz="0" w:space="0" w:color="auto"/>
        <w:right w:val="none" w:sz="0" w:space="0" w:color="auto"/>
      </w:divBdr>
    </w:div>
    <w:div w:id="1376007619">
      <w:bodyDiv w:val="1"/>
      <w:marLeft w:val="0"/>
      <w:marRight w:val="0"/>
      <w:marTop w:val="0"/>
      <w:marBottom w:val="0"/>
      <w:divBdr>
        <w:top w:val="none" w:sz="0" w:space="0" w:color="auto"/>
        <w:left w:val="none" w:sz="0" w:space="0" w:color="auto"/>
        <w:bottom w:val="none" w:sz="0" w:space="0" w:color="auto"/>
        <w:right w:val="none" w:sz="0" w:space="0" w:color="auto"/>
      </w:divBdr>
      <w:divsChild>
        <w:div w:id="1217938593">
          <w:marLeft w:val="0"/>
          <w:marRight w:val="0"/>
          <w:marTop w:val="240"/>
          <w:marBottom w:val="0"/>
          <w:divBdr>
            <w:top w:val="none" w:sz="0" w:space="0" w:color="auto"/>
            <w:left w:val="none" w:sz="0" w:space="0" w:color="auto"/>
            <w:bottom w:val="none" w:sz="0" w:space="0" w:color="auto"/>
            <w:right w:val="none" w:sz="0" w:space="0" w:color="auto"/>
          </w:divBdr>
          <w:divsChild>
            <w:div w:id="38601486">
              <w:marLeft w:val="0"/>
              <w:marRight w:val="0"/>
              <w:marTop w:val="0"/>
              <w:marBottom w:val="0"/>
              <w:divBdr>
                <w:top w:val="none" w:sz="0" w:space="0" w:color="auto"/>
                <w:left w:val="none" w:sz="0" w:space="0" w:color="auto"/>
                <w:bottom w:val="none" w:sz="0" w:space="0" w:color="auto"/>
                <w:right w:val="none" w:sz="0" w:space="0" w:color="auto"/>
              </w:divBdr>
            </w:div>
          </w:divsChild>
        </w:div>
        <w:div w:id="1851219740">
          <w:marLeft w:val="0"/>
          <w:marRight w:val="0"/>
          <w:marTop w:val="240"/>
          <w:marBottom w:val="0"/>
          <w:divBdr>
            <w:top w:val="none" w:sz="0" w:space="0" w:color="auto"/>
            <w:left w:val="none" w:sz="0" w:space="0" w:color="auto"/>
            <w:bottom w:val="none" w:sz="0" w:space="0" w:color="auto"/>
            <w:right w:val="none" w:sz="0" w:space="0" w:color="auto"/>
          </w:divBdr>
          <w:divsChild>
            <w:div w:id="199999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42334">
      <w:bodyDiv w:val="1"/>
      <w:marLeft w:val="0"/>
      <w:marRight w:val="0"/>
      <w:marTop w:val="0"/>
      <w:marBottom w:val="0"/>
      <w:divBdr>
        <w:top w:val="none" w:sz="0" w:space="0" w:color="auto"/>
        <w:left w:val="none" w:sz="0" w:space="0" w:color="auto"/>
        <w:bottom w:val="none" w:sz="0" w:space="0" w:color="auto"/>
        <w:right w:val="none" w:sz="0" w:space="0" w:color="auto"/>
      </w:divBdr>
    </w:div>
    <w:div w:id="1404183618">
      <w:bodyDiv w:val="1"/>
      <w:marLeft w:val="0"/>
      <w:marRight w:val="0"/>
      <w:marTop w:val="0"/>
      <w:marBottom w:val="0"/>
      <w:divBdr>
        <w:top w:val="none" w:sz="0" w:space="0" w:color="auto"/>
        <w:left w:val="none" w:sz="0" w:space="0" w:color="auto"/>
        <w:bottom w:val="none" w:sz="0" w:space="0" w:color="auto"/>
        <w:right w:val="none" w:sz="0" w:space="0" w:color="auto"/>
      </w:divBdr>
    </w:div>
    <w:div w:id="1404833127">
      <w:bodyDiv w:val="1"/>
      <w:marLeft w:val="0"/>
      <w:marRight w:val="0"/>
      <w:marTop w:val="0"/>
      <w:marBottom w:val="0"/>
      <w:divBdr>
        <w:top w:val="none" w:sz="0" w:space="0" w:color="auto"/>
        <w:left w:val="none" w:sz="0" w:space="0" w:color="auto"/>
        <w:bottom w:val="none" w:sz="0" w:space="0" w:color="auto"/>
        <w:right w:val="none" w:sz="0" w:space="0" w:color="auto"/>
      </w:divBdr>
    </w:div>
    <w:div w:id="1427573439">
      <w:bodyDiv w:val="1"/>
      <w:marLeft w:val="0"/>
      <w:marRight w:val="0"/>
      <w:marTop w:val="0"/>
      <w:marBottom w:val="0"/>
      <w:divBdr>
        <w:top w:val="none" w:sz="0" w:space="0" w:color="auto"/>
        <w:left w:val="none" w:sz="0" w:space="0" w:color="auto"/>
        <w:bottom w:val="none" w:sz="0" w:space="0" w:color="auto"/>
        <w:right w:val="none" w:sz="0" w:space="0" w:color="auto"/>
      </w:divBdr>
    </w:div>
    <w:div w:id="1443110861">
      <w:bodyDiv w:val="1"/>
      <w:marLeft w:val="0"/>
      <w:marRight w:val="0"/>
      <w:marTop w:val="0"/>
      <w:marBottom w:val="0"/>
      <w:divBdr>
        <w:top w:val="none" w:sz="0" w:space="0" w:color="auto"/>
        <w:left w:val="none" w:sz="0" w:space="0" w:color="auto"/>
        <w:bottom w:val="none" w:sz="0" w:space="0" w:color="auto"/>
        <w:right w:val="none" w:sz="0" w:space="0" w:color="auto"/>
      </w:divBdr>
    </w:div>
    <w:div w:id="1477799263">
      <w:bodyDiv w:val="1"/>
      <w:marLeft w:val="0"/>
      <w:marRight w:val="0"/>
      <w:marTop w:val="0"/>
      <w:marBottom w:val="0"/>
      <w:divBdr>
        <w:top w:val="none" w:sz="0" w:space="0" w:color="auto"/>
        <w:left w:val="none" w:sz="0" w:space="0" w:color="auto"/>
        <w:bottom w:val="none" w:sz="0" w:space="0" w:color="auto"/>
        <w:right w:val="none" w:sz="0" w:space="0" w:color="auto"/>
      </w:divBdr>
    </w:div>
    <w:div w:id="1495681348">
      <w:bodyDiv w:val="1"/>
      <w:marLeft w:val="0"/>
      <w:marRight w:val="0"/>
      <w:marTop w:val="0"/>
      <w:marBottom w:val="0"/>
      <w:divBdr>
        <w:top w:val="none" w:sz="0" w:space="0" w:color="auto"/>
        <w:left w:val="none" w:sz="0" w:space="0" w:color="auto"/>
        <w:bottom w:val="none" w:sz="0" w:space="0" w:color="auto"/>
        <w:right w:val="none" w:sz="0" w:space="0" w:color="auto"/>
      </w:divBdr>
    </w:div>
    <w:div w:id="1495880674">
      <w:bodyDiv w:val="1"/>
      <w:marLeft w:val="0"/>
      <w:marRight w:val="0"/>
      <w:marTop w:val="0"/>
      <w:marBottom w:val="0"/>
      <w:divBdr>
        <w:top w:val="none" w:sz="0" w:space="0" w:color="auto"/>
        <w:left w:val="none" w:sz="0" w:space="0" w:color="auto"/>
        <w:bottom w:val="none" w:sz="0" w:space="0" w:color="auto"/>
        <w:right w:val="none" w:sz="0" w:space="0" w:color="auto"/>
      </w:divBdr>
    </w:div>
    <w:div w:id="1515077095">
      <w:bodyDiv w:val="1"/>
      <w:marLeft w:val="0"/>
      <w:marRight w:val="0"/>
      <w:marTop w:val="0"/>
      <w:marBottom w:val="0"/>
      <w:divBdr>
        <w:top w:val="none" w:sz="0" w:space="0" w:color="auto"/>
        <w:left w:val="none" w:sz="0" w:space="0" w:color="auto"/>
        <w:bottom w:val="none" w:sz="0" w:space="0" w:color="auto"/>
        <w:right w:val="none" w:sz="0" w:space="0" w:color="auto"/>
      </w:divBdr>
    </w:div>
    <w:div w:id="1520003111">
      <w:bodyDiv w:val="1"/>
      <w:marLeft w:val="0"/>
      <w:marRight w:val="0"/>
      <w:marTop w:val="0"/>
      <w:marBottom w:val="0"/>
      <w:divBdr>
        <w:top w:val="none" w:sz="0" w:space="0" w:color="auto"/>
        <w:left w:val="none" w:sz="0" w:space="0" w:color="auto"/>
        <w:bottom w:val="none" w:sz="0" w:space="0" w:color="auto"/>
        <w:right w:val="none" w:sz="0" w:space="0" w:color="auto"/>
      </w:divBdr>
    </w:div>
    <w:div w:id="1545873373">
      <w:bodyDiv w:val="1"/>
      <w:marLeft w:val="0"/>
      <w:marRight w:val="0"/>
      <w:marTop w:val="0"/>
      <w:marBottom w:val="0"/>
      <w:divBdr>
        <w:top w:val="none" w:sz="0" w:space="0" w:color="auto"/>
        <w:left w:val="none" w:sz="0" w:space="0" w:color="auto"/>
        <w:bottom w:val="none" w:sz="0" w:space="0" w:color="auto"/>
        <w:right w:val="none" w:sz="0" w:space="0" w:color="auto"/>
      </w:divBdr>
    </w:div>
    <w:div w:id="1564288107">
      <w:bodyDiv w:val="1"/>
      <w:marLeft w:val="0"/>
      <w:marRight w:val="0"/>
      <w:marTop w:val="0"/>
      <w:marBottom w:val="0"/>
      <w:divBdr>
        <w:top w:val="none" w:sz="0" w:space="0" w:color="auto"/>
        <w:left w:val="none" w:sz="0" w:space="0" w:color="auto"/>
        <w:bottom w:val="none" w:sz="0" w:space="0" w:color="auto"/>
        <w:right w:val="none" w:sz="0" w:space="0" w:color="auto"/>
      </w:divBdr>
    </w:div>
    <w:div w:id="1646663105">
      <w:bodyDiv w:val="1"/>
      <w:marLeft w:val="0"/>
      <w:marRight w:val="0"/>
      <w:marTop w:val="0"/>
      <w:marBottom w:val="0"/>
      <w:divBdr>
        <w:top w:val="none" w:sz="0" w:space="0" w:color="auto"/>
        <w:left w:val="none" w:sz="0" w:space="0" w:color="auto"/>
        <w:bottom w:val="none" w:sz="0" w:space="0" w:color="auto"/>
        <w:right w:val="none" w:sz="0" w:space="0" w:color="auto"/>
      </w:divBdr>
    </w:div>
    <w:div w:id="1656451978">
      <w:bodyDiv w:val="1"/>
      <w:marLeft w:val="0"/>
      <w:marRight w:val="0"/>
      <w:marTop w:val="0"/>
      <w:marBottom w:val="0"/>
      <w:divBdr>
        <w:top w:val="none" w:sz="0" w:space="0" w:color="auto"/>
        <w:left w:val="none" w:sz="0" w:space="0" w:color="auto"/>
        <w:bottom w:val="none" w:sz="0" w:space="0" w:color="auto"/>
        <w:right w:val="none" w:sz="0" w:space="0" w:color="auto"/>
      </w:divBdr>
    </w:div>
    <w:div w:id="1669282603">
      <w:bodyDiv w:val="1"/>
      <w:marLeft w:val="0"/>
      <w:marRight w:val="0"/>
      <w:marTop w:val="0"/>
      <w:marBottom w:val="0"/>
      <w:divBdr>
        <w:top w:val="none" w:sz="0" w:space="0" w:color="auto"/>
        <w:left w:val="none" w:sz="0" w:space="0" w:color="auto"/>
        <w:bottom w:val="none" w:sz="0" w:space="0" w:color="auto"/>
        <w:right w:val="none" w:sz="0" w:space="0" w:color="auto"/>
      </w:divBdr>
    </w:div>
    <w:div w:id="1669795998">
      <w:bodyDiv w:val="1"/>
      <w:marLeft w:val="0"/>
      <w:marRight w:val="0"/>
      <w:marTop w:val="0"/>
      <w:marBottom w:val="0"/>
      <w:divBdr>
        <w:top w:val="none" w:sz="0" w:space="0" w:color="auto"/>
        <w:left w:val="none" w:sz="0" w:space="0" w:color="auto"/>
        <w:bottom w:val="none" w:sz="0" w:space="0" w:color="auto"/>
        <w:right w:val="none" w:sz="0" w:space="0" w:color="auto"/>
      </w:divBdr>
    </w:div>
    <w:div w:id="1674335628">
      <w:bodyDiv w:val="1"/>
      <w:marLeft w:val="0"/>
      <w:marRight w:val="0"/>
      <w:marTop w:val="0"/>
      <w:marBottom w:val="0"/>
      <w:divBdr>
        <w:top w:val="none" w:sz="0" w:space="0" w:color="auto"/>
        <w:left w:val="none" w:sz="0" w:space="0" w:color="auto"/>
        <w:bottom w:val="none" w:sz="0" w:space="0" w:color="auto"/>
        <w:right w:val="none" w:sz="0" w:space="0" w:color="auto"/>
      </w:divBdr>
      <w:divsChild>
        <w:div w:id="178667267">
          <w:marLeft w:val="0"/>
          <w:marRight w:val="0"/>
          <w:marTop w:val="0"/>
          <w:marBottom w:val="0"/>
          <w:divBdr>
            <w:top w:val="single" w:sz="6" w:space="5" w:color="D6D6D6"/>
            <w:left w:val="none" w:sz="0" w:space="9" w:color="auto"/>
            <w:bottom w:val="none" w:sz="0" w:space="9" w:color="auto"/>
            <w:right w:val="none" w:sz="0" w:space="2" w:color="auto"/>
          </w:divBdr>
          <w:divsChild>
            <w:div w:id="639575757">
              <w:marLeft w:val="0"/>
              <w:marRight w:val="0"/>
              <w:marTop w:val="0"/>
              <w:marBottom w:val="0"/>
              <w:divBdr>
                <w:top w:val="none" w:sz="0" w:space="0" w:color="auto"/>
                <w:left w:val="none" w:sz="0" w:space="0" w:color="auto"/>
                <w:bottom w:val="none" w:sz="0" w:space="0" w:color="auto"/>
                <w:right w:val="none" w:sz="0" w:space="0" w:color="auto"/>
              </w:divBdr>
              <w:divsChild>
                <w:div w:id="170067716">
                  <w:marLeft w:val="0"/>
                  <w:marRight w:val="0"/>
                  <w:marTop w:val="0"/>
                  <w:marBottom w:val="0"/>
                  <w:divBdr>
                    <w:top w:val="none" w:sz="0" w:space="0" w:color="auto"/>
                    <w:left w:val="none" w:sz="0" w:space="0" w:color="auto"/>
                    <w:bottom w:val="none" w:sz="0" w:space="0" w:color="auto"/>
                    <w:right w:val="none" w:sz="0" w:space="0" w:color="auto"/>
                  </w:divBdr>
                  <w:divsChild>
                    <w:div w:id="144345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721670">
      <w:bodyDiv w:val="1"/>
      <w:marLeft w:val="0"/>
      <w:marRight w:val="0"/>
      <w:marTop w:val="0"/>
      <w:marBottom w:val="0"/>
      <w:divBdr>
        <w:top w:val="none" w:sz="0" w:space="0" w:color="auto"/>
        <w:left w:val="none" w:sz="0" w:space="0" w:color="auto"/>
        <w:bottom w:val="none" w:sz="0" w:space="0" w:color="auto"/>
        <w:right w:val="none" w:sz="0" w:space="0" w:color="auto"/>
      </w:divBdr>
    </w:div>
    <w:div w:id="1730611025">
      <w:bodyDiv w:val="1"/>
      <w:marLeft w:val="0"/>
      <w:marRight w:val="0"/>
      <w:marTop w:val="0"/>
      <w:marBottom w:val="0"/>
      <w:divBdr>
        <w:top w:val="none" w:sz="0" w:space="0" w:color="auto"/>
        <w:left w:val="none" w:sz="0" w:space="0" w:color="auto"/>
        <w:bottom w:val="none" w:sz="0" w:space="0" w:color="auto"/>
        <w:right w:val="none" w:sz="0" w:space="0" w:color="auto"/>
      </w:divBdr>
    </w:div>
    <w:div w:id="1731465669">
      <w:bodyDiv w:val="1"/>
      <w:marLeft w:val="0"/>
      <w:marRight w:val="0"/>
      <w:marTop w:val="0"/>
      <w:marBottom w:val="0"/>
      <w:divBdr>
        <w:top w:val="none" w:sz="0" w:space="0" w:color="auto"/>
        <w:left w:val="none" w:sz="0" w:space="0" w:color="auto"/>
        <w:bottom w:val="none" w:sz="0" w:space="0" w:color="auto"/>
        <w:right w:val="none" w:sz="0" w:space="0" w:color="auto"/>
      </w:divBdr>
      <w:divsChild>
        <w:div w:id="1380861839">
          <w:marLeft w:val="0"/>
          <w:marRight w:val="0"/>
          <w:marTop w:val="0"/>
          <w:marBottom w:val="0"/>
          <w:divBdr>
            <w:top w:val="single" w:sz="6" w:space="5" w:color="D6D6D6"/>
            <w:left w:val="none" w:sz="0" w:space="9" w:color="auto"/>
            <w:bottom w:val="none" w:sz="0" w:space="9" w:color="auto"/>
            <w:right w:val="none" w:sz="0" w:space="2" w:color="auto"/>
          </w:divBdr>
          <w:divsChild>
            <w:div w:id="1315255739">
              <w:marLeft w:val="0"/>
              <w:marRight w:val="0"/>
              <w:marTop w:val="0"/>
              <w:marBottom w:val="0"/>
              <w:divBdr>
                <w:top w:val="none" w:sz="0" w:space="0" w:color="auto"/>
                <w:left w:val="none" w:sz="0" w:space="0" w:color="auto"/>
                <w:bottom w:val="none" w:sz="0" w:space="0" w:color="auto"/>
                <w:right w:val="none" w:sz="0" w:space="0" w:color="auto"/>
              </w:divBdr>
              <w:divsChild>
                <w:div w:id="482429262">
                  <w:marLeft w:val="0"/>
                  <w:marRight w:val="0"/>
                  <w:marTop w:val="0"/>
                  <w:marBottom w:val="0"/>
                  <w:divBdr>
                    <w:top w:val="none" w:sz="0" w:space="0" w:color="auto"/>
                    <w:left w:val="none" w:sz="0" w:space="0" w:color="auto"/>
                    <w:bottom w:val="none" w:sz="0" w:space="0" w:color="auto"/>
                    <w:right w:val="none" w:sz="0" w:space="0" w:color="auto"/>
                  </w:divBdr>
                  <w:divsChild>
                    <w:div w:id="88992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74973">
      <w:bodyDiv w:val="1"/>
      <w:marLeft w:val="0"/>
      <w:marRight w:val="0"/>
      <w:marTop w:val="0"/>
      <w:marBottom w:val="0"/>
      <w:divBdr>
        <w:top w:val="none" w:sz="0" w:space="0" w:color="auto"/>
        <w:left w:val="none" w:sz="0" w:space="0" w:color="auto"/>
        <w:bottom w:val="none" w:sz="0" w:space="0" w:color="auto"/>
        <w:right w:val="none" w:sz="0" w:space="0" w:color="auto"/>
      </w:divBdr>
      <w:divsChild>
        <w:div w:id="1343318957">
          <w:marLeft w:val="0"/>
          <w:marRight w:val="0"/>
          <w:marTop w:val="240"/>
          <w:marBottom w:val="0"/>
          <w:divBdr>
            <w:top w:val="none" w:sz="0" w:space="0" w:color="auto"/>
            <w:left w:val="none" w:sz="0" w:space="0" w:color="auto"/>
            <w:bottom w:val="none" w:sz="0" w:space="0" w:color="auto"/>
            <w:right w:val="none" w:sz="0" w:space="0" w:color="auto"/>
          </w:divBdr>
          <w:divsChild>
            <w:div w:id="431557441">
              <w:marLeft w:val="0"/>
              <w:marRight w:val="0"/>
              <w:marTop w:val="0"/>
              <w:marBottom w:val="0"/>
              <w:divBdr>
                <w:top w:val="none" w:sz="0" w:space="0" w:color="auto"/>
                <w:left w:val="none" w:sz="0" w:space="0" w:color="auto"/>
                <w:bottom w:val="none" w:sz="0" w:space="0" w:color="auto"/>
                <w:right w:val="none" w:sz="0" w:space="0" w:color="auto"/>
              </w:divBdr>
            </w:div>
          </w:divsChild>
        </w:div>
        <w:div w:id="1694109356">
          <w:marLeft w:val="0"/>
          <w:marRight w:val="0"/>
          <w:marTop w:val="240"/>
          <w:marBottom w:val="0"/>
          <w:divBdr>
            <w:top w:val="none" w:sz="0" w:space="0" w:color="auto"/>
            <w:left w:val="none" w:sz="0" w:space="0" w:color="auto"/>
            <w:bottom w:val="none" w:sz="0" w:space="0" w:color="auto"/>
            <w:right w:val="none" w:sz="0" w:space="0" w:color="auto"/>
          </w:divBdr>
          <w:divsChild>
            <w:div w:id="2222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95669">
      <w:bodyDiv w:val="1"/>
      <w:marLeft w:val="0"/>
      <w:marRight w:val="0"/>
      <w:marTop w:val="0"/>
      <w:marBottom w:val="0"/>
      <w:divBdr>
        <w:top w:val="none" w:sz="0" w:space="0" w:color="auto"/>
        <w:left w:val="none" w:sz="0" w:space="0" w:color="auto"/>
        <w:bottom w:val="none" w:sz="0" w:space="0" w:color="auto"/>
        <w:right w:val="none" w:sz="0" w:space="0" w:color="auto"/>
      </w:divBdr>
    </w:div>
    <w:div w:id="1806197404">
      <w:bodyDiv w:val="1"/>
      <w:marLeft w:val="0"/>
      <w:marRight w:val="0"/>
      <w:marTop w:val="0"/>
      <w:marBottom w:val="0"/>
      <w:divBdr>
        <w:top w:val="none" w:sz="0" w:space="0" w:color="auto"/>
        <w:left w:val="none" w:sz="0" w:space="0" w:color="auto"/>
        <w:bottom w:val="none" w:sz="0" w:space="0" w:color="auto"/>
        <w:right w:val="none" w:sz="0" w:space="0" w:color="auto"/>
      </w:divBdr>
    </w:div>
    <w:div w:id="1812752068">
      <w:bodyDiv w:val="1"/>
      <w:marLeft w:val="0"/>
      <w:marRight w:val="0"/>
      <w:marTop w:val="0"/>
      <w:marBottom w:val="0"/>
      <w:divBdr>
        <w:top w:val="none" w:sz="0" w:space="0" w:color="auto"/>
        <w:left w:val="none" w:sz="0" w:space="0" w:color="auto"/>
        <w:bottom w:val="none" w:sz="0" w:space="0" w:color="auto"/>
        <w:right w:val="none" w:sz="0" w:space="0" w:color="auto"/>
      </w:divBdr>
    </w:div>
    <w:div w:id="1825587333">
      <w:bodyDiv w:val="1"/>
      <w:marLeft w:val="0"/>
      <w:marRight w:val="0"/>
      <w:marTop w:val="0"/>
      <w:marBottom w:val="0"/>
      <w:divBdr>
        <w:top w:val="none" w:sz="0" w:space="0" w:color="auto"/>
        <w:left w:val="none" w:sz="0" w:space="0" w:color="auto"/>
        <w:bottom w:val="none" w:sz="0" w:space="0" w:color="auto"/>
        <w:right w:val="none" w:sz="0" w:space="0" w:color="auto"/>
      </w:divBdr>
    </w:div>
    <w:div w:id="1832595034">
      <w:bodyDiv w:val="1"/>
      <w:marLeft w:val="0"/>
      <w:marRight w:val="0"/>
      <w:marTop w:val="0"/>
      <w:marBottom w:val="0"/>
      <w:divBdr>
        <w:top w:val="none" w:sz="0" w:space="0" w:color="auto"/>
        <w:left w:val="none" w:sz="0" w:space="0" w:color="auto"/>
        <w:bottom w:val="none" w:sz="0" w:space="0" w:color="auto"/>
        <w:right w:val="none" w:sz="0" w:space="0" w:color="auto"/>
      </w:divBdr>
    </w:div>
    <w:div w:id="1835761504">
      <w:bodyDiv w:val="1"/>
      <w:marLeft w:val="0"/>
      <w:marRight w:val="0"/>
      <w:marTop w:val="0"/>
      <w:marBottom w:val="0"/>
      <w:divBdr>
        <w:top w:val="none" w:sz="0" w:space="0" w:color="auto"/>
        <w:left w:val="none" w:sz="0" w:space="0" w:color="auto"/>
        <w:bottom w:val="none" w:sz="0" w:space="0" w:color="auto"/>
        <w:right w:val="none" w:sz="0" w:space="0" w:color="auto"/>
      </w:divBdr>
    </w:div>
    <w:div w:id="1846897554">
      <w:bodyDiv w:val="1"/>
      <w:marLeft w:val="0"/>
      <w:marRight w:val="0"/>
      <w:marTop w:val="0"/>
      <w:marBottom w:val="0"/>
      <w:divBdr>
        <w:top w:val="none" w:sz="0" w:space="0" w:color="auto"/>
        <w:left w:val="none" w:sz="0" w:space="0" w:color="auto"/>
        <w:bottom w:val="none" w:sz="0" w:space="0" w:color="auto"/>
        <w:right w:val="none" w:sz="0" w:space="0" w:color="auto"/>
      </w:divBdr>
    </w:div>
    <w:div w:id="1854538356">
      <w:bodyDiv w:val="1"/>
      <w:marLeft w:val="0"/>
      <w:marRight w:val="0"/>
      <w:marTop w:val="0"/>
      <w:marBottom w:val="0"/>
      <w:divBdr>
        <w:top w:val="none" w:sz="0" w:space="0" w:color="auto"/>
        <w:left w:val="none" w:sz="0" w:space="0" w:color="auto"/>
        <w:bottom w:val="none" w:sz="0" w:space="0" w:color="auto"/>
        <w:right w:val="none" w:sz="0" w:space="0" w:color="auto"/>
      </w:divBdr>
    </w:div>
    <w:div w:id="1865634304">
      <w:bodyDiv w:val="1"/>
      <w:marLeft w:val="0"/>
      <w:marRight w:val="0"/>
      <w:marTop w:val="0"/>
      <w:marBottom w:val="0"/>
      <w:divBdr>
        <w:top w:val="none" w:sz="0" w:space="0" w:color="auto"/>
        <w:left w:val="none" w:sz="0" w:space="0" w:color="auto"/>
        <w:bottom w:val="none" w:sz="0" w:space="0" w:color="auto"/>
        <w:right w:val="none" w:sz="0" w:space="0" w:color="auto"/>
      </w:divBdr>
    </w:div>
    <w:div w:id="1887139681">
      <w:bodyDiv w:val="1"/>
      <w:marLeft w:val="0"/>
      <w:marRight w:val="0"/>
      <w:marTop w:val="0"/>
      <w:marBottom w:val="0"/>
      <w:divBdr>
        <w:top w:val="none" w:sz="0" w:space="0" w:color="auto"/>
        <w:left w:val="none" w:sz="0" w:space="0" w:color="auto"/>
        <w:bottom w:val="none" w:sz="0" w:space="0" w:color="auto"/>
        <w:right w:val="none" w:sz="0" w:space="0" w:color="auto"/>
      </w:divBdr>
    </w:div>
    <w:div w:id="1891719903">
      <w:bodyDiv w:val="1"/>
      <w:marLeft w:val="0"/>
      <w:marRight w:val="0"/>
      <w:marTop w:val="0"/>
      <w:marBottom w:val="0"/>
      <w:divBdr>
        <w:top w:val="none" w:sz="0" w:space="0" w:color="auto"/>
        <w:left w:val="none" w:sz="0" w:space="0" w:color="auto"/>
        <w:bottom w:val="none" w:sz="0" w:space="0" w:color="auto"/>
        <w:right w:val="none" w:sz="0" w:space="0" w:color="auto"/>
      </w:divBdr>
    </w:div>
    <w:div w:id="1942956463">
      <w:bodyDiv w:val="1"/>
      <w:marLeft w:val="0"/>
      <w:marRight w:val="0"/>
      <w:marTop w:val="0"/>
      <w:marBottom w:val="0"/>
      <w:divBdr>
        <w:top w:val="none" w:sz="0" w:space="0" w:color="auto"/>
        <w:left w:val="none" w:sz="0" w:space="0" w:color="auto"/>
        <w:bottom w:val="none" w:sz="0" w:space="0" w:color="auto"/>
        <w:right w:val="none" w:sz="0" w:space="0" w:color="auto"/>
      </w:divBdr>
    </w:div>
    <w:div w:id="1953587910">
      <w:bodyDiv w:val="1"/>
      <w:marLeft w:val="0"/>
      <w:marRight w:val="0"/>
      <w:marTop w:val="0"/>
      <w:marBottom w:val="0"/>
      <w:divBdr>
        <w:top w:val="none" w:sz="0" w:space="0" w:color="auto"/>
        <w:left w:val="none" w:sz="0" w:space="0" w:color="auto"/>
        <w:bottom w:val="none" w:sz="0" w:space="0" w:color="auto"/>
        <w:right w:val="none" w:sz="0" w:space="0" w:color="auto"/>
      </w:divBdr>
    </w:div>
    <w:div w:id="1974555288">
      <w:bodyDiv w:val="1"/>
      <w:marLeft w:val="0"/>
      <w:marRight w:val="0"/>
      <w:marTop w:val="0"/>
      <w:marBottom w:val="0"/>
      <w:divBdr>
        <w:top w:val="none" w:sz="0" w:space="0" w:color="auto"/>
        <w:left w:val="none" w:sz="0" w:space="0" w:color="auto"/>
        <w:bottom w:val="none" w:sz="0" w:space="0" w:color="auto"/>
        <w:right w:val="none" w:sz="0" w:space="0" w:color="auto"/>
      </w:divBdr>
    </w:div>
    <w:div w:id="1974938841">
      <w:bodyDiv w:val="1"/>
      <w:marLeft w:val="0"/>
      <w:marRight w:val="0"/>
      <w:marTop w:val="0"/>
      <w:marBottom w:val="0"/>
      <w:divBdr>
        <w:top w:val="none" w:sz="0" w:space="0" w:color="auto"/>
        <w:left w:val="none" w:sz="0" w:space="0" w:color="auto"/>
        <w:bottom w:val="none" w:sz="0" w:space="0" w:color="auto"/>
        <w:right w:val="none" w:sz="0" w:space="0" w:color="auto"/>
      </w:divBdr>
    </w:div>
    <w:div w:id="1995641190">
      <w:bodyDiv w:val="1"/>
      <w:marLeft w:val="0"/>
      <w:marRight w:val="0"/>
      <w:marTop w:val="0"/>
      <w:marBottom w:val="0"/>
      <w:divBdr>
        <w:top w:val="none" w:sz="0" w:space="0" w:color="auto"/>
        <w:left w:val="none" w:sz="0" w:space="0" w:color="auto"/>
        <w:bottom w:val="none" w:sz="0" w:space="0" w:color="auto"/>
        <w:right w:val="none" w:sz="0" w:space="0" w:color="auto"/>
      </w:divBdr>
    </w:div>
    <w:div w:id="2035953997">
      <w:bodyDiv w:val="1"/>
      <w:marLeft w:val="0"/>
      <w:marRight w:val="0"/>
      <w:marTop w:val="0"/>
      <w:marBottom w:val="0"/>
      <w:divBdr>
        <w:top w:val="none" w:sz="0" w:space="0" w:color="auto"/>
        <w:left w:val="none" w:sz="0" w:space="0" w:color="auto"/>
        <w:bottom w:val="none" w:sz="0" w:space="0" w:color="auto"/>
        <w:right w:val="none" w:sz="0" w:space="0" w:color="auto"/>
      </w:divBdr>
    </w:div>
    <w:div w:id="2039697366">
      <w:bodyDiv w:val="1"/>
      <w:marLeft w:val="0"/>
      <w:marRight w:val="0"/>
      <w:marTop w:val="0"/>
      <w:marBottom w:val="0"/>
      <w:divBdr>
        <w:top w:val="none" w:sz="0" w:space="0" w:color="auto"/>
        <w:left w:val="none" w:sz="0" w:space="0" w:color="auto"/>
        <w:bottom w:val="none" w:sz="0" w:space="0" w:color="auto"/>
        <w:right w:val="none" w:sz="0" w:space="0" w:color="auto"/>
      </w:divBdr>
      <w:divsChild>
        <w:div w:id="37124942">
          <w:marLeft w:val="0"/>
          <w:marRight w:val="0"/>
          <w:marTop w:val="0"/>
          <w:marBottom w:val="0"/>
          <w:divBdr>
            <w:top w:val="single" w:sz="6" w:space="5" w:color="D6D6D6"/>
            <w:left w:val="none" w:sz="0" w:space="9" w:color="auto"/>
            <w:bottom w:val="none" w:sz="0" w:space="9" w:color="auto"/>
            <w:right w:val="none" w:sz="0" w:space="2" w:color="auto"/>
          </w:divBdr>
          <w:divsChild>
            <w:div w:id="1601451042">
              <w:marLeft w:val="0"/>
              <w:marRight w:val="0"/>
              <w:marTop w:val="0"/>
              <w:marBottom w:val="0"/>
              <w:divBdr>
                <w:top w:val="none" w:sz="0" w:space="0" w:color="auto"/>
                <w:left w:val="none" w:sz="0" w:space="0" w:color="auto"/>
                <w:bottom w:val="none" w:sz="0" w:space="0" w:color="auto"/>
                <w:right w:val="none" w:sz="0" w:space="0" w:color="auto"/>
              </w:divBdr>
              <w:divsChild>
                <w:div w:id="391395488">
                  <w:marLeft w:val="0"/>
                  <w:marRight w:val="0"/>
                  <w:marTop w:val="0"/>
                  <w:marBottom w:val="0"/>
                  <w:divBdr>
                    <w:top w:val="none" w:sz="0" w:space="0" w:color="auto"/>
                    <w:left w:val="none" w:sz="0" w:space="0" w:color="auto"/>
                    <w:bottom w:val="none" w:sz="0" w:space="0" w:color="auto"/>
                    <w:right w:val="none" w:sz="0" w:space="0" w:color="auto"/>
                  </w:divBdr>
                  <w:divsChild>
                    <w:div w:id="179459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061373">
      <w:bodyDiv w:val="1"/>
      <w:marLeft w:val="0"/>
      <w:marRight w:val="0"/>
      <w:marTop w:val="0"/>
      <w:marBottom w:val="0"/>
      <w:divBdr>
        <w:top w:val="none" w:sz="0" w:space="0" w:color="auto"/>
        <w:left w:val="none" w:sz="0" w:space="0" w:color="auto"/>
        <w:bottom w:val="none" w:sz="0" w:space="0" w:color="auto"/>
        <w:right w:val="none" w:sz="0" w:space="0" w:color="auto"/>
      </w:divBdr>
    </w:div>
    <w:div w:id="2081438965">
      <w:bodyDiv w:val="1"/>
      <w:marLeft w:val="0"/>
      <w:marRight w:val="0"/>
      <w:marTop w:val="0"/>
      <w:marBottom w:val="0"/>
      <w:divBdr>
        <w:top w:val="none" w:sz="0" w:space="0" w:color="auto"/>
        <w:left w:val="none" w:sz="0" w:space="0" w:color="auto"/>
        <w:bottom w:val="none" w:sz="0" w:space="0" w:color="auto"/>
        <w:right w:val="none" w:sz="0" w:space="0" w:color="auto"/>
      </w:divBdr>
    </w:div>
    <w:div w:id="214134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coindesk.com/tetragon-sues-ripple-stock-redemption" TargetMode="External"/><Relationship Id="rId3" Type="http://schemas.openxmlformats.org/officeDocument/2006/relationships/hyperlink" Target="https://www.sec.gov/news/speech/speech-hinman-061418" TargetMode="External"/><Relationship Id="rId7" Type="http://schemas.openxmlformats.org/officeDocument/2006/relationships/hyperlink" Target="https://www.coindesk.com/coinbase-suspends-xrp-trading" TargetMode="External"/><Relationship Id="rId2" Type="http://schemas.openxmlformats.org/officeDocument/2006/relationships/hyperlink" Target="https://online.wsj.com/public/resources/documents/VCurrenty111813.pdf" TargetMode="External"/><Relationship Id="rId1" Type="http://schemas.openxmlformats.org/officeDocument/2006/relationships/hyperlink" Target="https://www.sec.gov/spotlight-initial-coin-offerings-and-digital-assets" TargetMode="External"/><Relationship Id="rId6" Type="http://schemas.openxmlformats.org/officeDocument/2006/relationships/hyperlink" Target="https://www.coindesk.com/first-mover-xrp-plunges-sec-ripple-suit" TargetMode="External"/><Relationship Id="rId5" Type="http://schemas.openxmlformats.org/officeDocument/2006/relationships/hyperlink" Target="https://www.theventurealley.com/wp-content/uploads/sites/5/2017/12/Munchee-White-Paper.pdf" TargetMode="External"/><Relationship Id="rId4" Type="http://schemas.openxmlformats.org/officeDocument/2006/relationships/hyperlink" Target="https://www.sec.gov/spotlight-initial-coin-offerings-and-digital-ass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97763-9409-9D43-8158-A50731D47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6003</Words>
  <Characters>34222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Bull</dc:creator>
  <cp:keywords/>
  <dc:description/>
  <cp:lastModifiedBy>Olivia A</cp:lastModifiedBy>
  <cp:revision>2</cp:revision>
  <cp:lastPrinted>2020-03-05T15:37:00Z</cp:lastPrinted>
  <dcterms:created xsi:type="dcterms:W3CDTF">2021-03-31T18:28:00Z</dcterms:created>
  <dcterms:modified xsi:type="dcterms:W3CDTF">2021-03-31T18:28:00Z</dcterms:modified>
</cp:coreProperties>
</file>